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2561" w14:textId="77777777" w:rsidR="00425D2A" w:rsidRPr="00425D2A" w:rsidRDefault="00432E7C" w:rsidP="00425D2A">
      <w:pPr>
        <w:spacing w:line="240" w:lineRule="auto"/>
        <w:rPr>
          <w:rFonts w:ascii="Arial" w:hAnsi="Arial" w:cs="Arial"/>
          <w:b/>
          <w:sz w:val="24"/>
          <w:szCs w:val="24"/>
        </w:rPr>
      </w:pPr>
      <w:r w:rsidRPr="00425D2A">
        <w:rPr>
          <w:rFonts w:ascii="Arial" w:hAnsi="Arial" w:cs="Arial"/>
          <w:b/>
          <w:sz w:val="24"/>
          <w:szCs w:val="24"/>
        </w:rPr>
        <w:t>DIP. INGRID DEL PILAR SANTOS DÍAZ</w:t>
      </w:r>
    </w:p>
    <w:p w14:paraId="52592BE6" w14:textId="77777777" w:rsidR="00425D2A" w:rsidRPr="00425D2A" w:rsidRDefault="00432E7C" w:rsidP="00425D2A">
      <w:pPr>
        <w:spacing w:line="240" w:lineRule="auto"/>
        <w:rPr>
          <w:rFonts w:ascii="Arial" w:hAnsi="Arial" w:cs="Arial"/>
          <w:b/>
          <w:sz w:val="24"/>
          <w:szCs w:val="24"/>
        </w:rPr>
      </w:pPr>
      <w:r w:rsidRPr="00425D2A">
        <w:rPr>
          <w:rFonts w:ascii="Arial" w:hAnsi="Arial" w:cs="Arial"/>
          <w:b/>
          <w:sz w:val="24"/>
          <w:szCs w:val="24"/>
        </w:rPr>
        <w:t xml:space="preserve">PRESIDENTA DE LA MESA DIRECTIVA </w:t>
      </w:r>
    </w:p>
    <w:p w14:paraId="11E37213" w14:textId="77777777" w:rsidR="00425D2A" w:rsidRPr="00425D2A" w:rsidRDefault="00432E7C" w:rsidP="00425D2A">
      <w:pPr>
        <w:spacing w:line="240" w:lineRule="auto"/>
        <w:rPr>
          <w:rFonts w:ascii="Arial" w:hAnsi="Arial" w:cs="Arial"/>
          <w:b/>
          <w:sz w:val="24"/>
          <w:szCs w:val="24"/>
        </w:rPr>
      </w:pPr>
      <w:r w:rsidRPr="00425D2A">
        <w:rPr>
          <w:rFonts w:ascii="Arial" w:hAnsi="Arial" w:cs="Arial"/>
          <w:b/>
          <w:sz w:val="24"/>
          <w:szCs w:val="24"/>
        </w:rPr>
        <w:t>DEL CONGRESO DEL ESTADO DE YUCATÁN</w:t>
      </w:r>
    </w:p>
    <w:p w14:paraId="77CBDF60" w14:textId="65AEBCC4" w:rsidR="00432E7C" w:rsidRPr="00425D2A" w:rsidRDefault="00432E7C" w:rsidP="00425D2A">
      <w:pPr>
        <w:spacing w:line="240" w:lineRule="auto"/>
        <w:rPr>
          <w:rFonts w:ascii="Arial" w:hAnsi="Arial" w:cs="Arial"/>
          <w:b/>
          <w:sz w:val="24"/>
          <w:szCs w:val="24"/>
        </w:rPr>
      </w:pPr>
      <w:r w:rsidRPr="00425D2A">
        <w:rPr>
          <w:rFonts w:ascii="Arial" w:hAnsi="Arial" w:cs="Arial"/>
          <w:b/>
          <w:sz w:val="24"/>
          <w:szCs w:val="24"/>
        </w:rPr>
        <w:t xml:space="preserve"> P</w:t>
      </w:r>
      <w:r w:rsidR="00425D2A">
        <w:rPr>
          <w:rFonts w:ascii="Arial" w:hAnsi="Arial" w:cs="Arial"/>
          <w:b/>
          <w:sz w:val="24"/>
          <w:szCs w:val="24"/>
        </w:rPr>
        <w:t xml:space="preserve"> </w:t>
      </w:r>
      <w:r w:rsidRPr="00425D2A">
        <w:rPr>
          <w:rFonts w:ascii="Arial" w:hAnsi="Arial" w:cs="Arial"/>
          <w:b/>
          <w:sz w:val="24"/>
          <w:szCs w:val="24"/>
        </w:rPr>
        <w:t>R</w:t>
      </w:r>
      <w:r w:rsidR="00425D2A">
        <w:rPr>
          <w:rFonts w:ascii="Arial" w:hAnsi="Arial" w:cs="Arial"/>
          <w:b/>
          <w:sz w:val="24"/>
          <w:szCs w:val="24"/>
        </w:rPr>
        <w:t xml:space="preserve"> </w:t>
      </w:r>
      <w:r w:rsidRPr="00425D2A">
        <w:rPr>
          <w:rFonts w:ascii="Arial" w:hAnsi="Arial" w:cs="Arial"/>
          <w:b/>
          <w:sz w:val="24"/>
          <w:szCs w:val="24"/>
        </w:rPr>
        <w:t>E</w:t>
      </w:r>
      <w:r w:rsidR="00425D2A">
        <w:rPr>
          <w:rFonts w:ascii="Arial" w:hAnsi="Arial" w:cs="Arial"/>
          <w:b/>
          <w:sz w:val="24"/>
          <w:szCs w:val="24"/>
        </w:rPr>
        <w:t xml:space="preserve"> </w:t>
      </w:r>
      <w:r w:rsidRPr="00425D2A">
        <w:rPr>
          <w:rFonts w:ascii="Arial" w:hAnsi="Arial" w:cs="Arial"/>
          <w:b/>
          <w:sz w:val="24"/>
          <w:szCs w:val="24"/>
        </w:rPr>
        <w:t>S</w:t>
      </w:r>
      <w:r w:rsidR="00425D2A">
        <w:rPr>
          <w:rFonts w:ascii="Arial" w:hAnsi="Arial" w:cs="Arial"/>
          <w:b/>
          <w:sz w:val="24"/>
          <w:szCs w:val="24"/>
        </w:rPr>
        <w:t xml:space="preserve"> </w:t>
      </w:r>
      <w:r w:rsidRPr="00425D2A">
        <w:rPr>
          <w:rFonts w:ascii="Arial" w:hAnsi="Arial" w:cs="Arial"/>
          <w:b/>
          <w:sz w:val="24"/>
          <w:szCs w:val="24"/>
        </w:rPr>
        <w:t>E</w:t>
      </w:r>
      <w:r w:rsidR="00425D2A">
        <w:rPr>
          <w:rFonts w:ascii="Arial" w:hAnsi="Arial" w:cs="Arial"/>
          <w:b/>
          <w:sz w:val="24"/>
          <w:szCs w:val="24"/>
        </w:rPr>
        <w:t xml:space="preserve"> </w:t>
      </w:r>
      <w:r w:rsidRPr="00425D2A">
        <w:rPr>
          <w:rFonts w:ascii="Arial" w:hAnsi="Arial" w:cs="Arial"/>
          <w:b/>
          <w:sz w:val="24"/>
          <w:szCs w:val="24"/>
        </w:rPr>
        <w:t>N</w:t>
      </w:r>
      <w:r w:rsidR="00425D2A">
        <w:rPr>
          <w:rFonts w:ascii="Arial" w:hAnsi="Arial" w:cs="Arial"/>
          <w:b/>
          <w:sz w:val="24"/>
          <w:szCs w:val="24"/>
        </w:rPr>
        <w:t xml:space="preserve"> </w:t>
      </w:r>
      <w:r w:rsidRPr="00425D2A">
        <w:rPr>
          <w:rFonts w:ascii="Arial" w:hAnsi="Arial" w:cs="Arial"/>
          <w:b/>
          <w:sz w:val="24"/>
          <w:szCs w:val="24"/>
        </w:rPr>
        <w:t>T</w:t>
      </w:r>
      <w:r w:rsidR="00425D2A">
        <w:rPr>
          <w:rFonts w:ascii="Arial" w:hAnsi="Arial" w:cs="Arial"/>
          <w:b/>
          <w:sz w:val="24"/>
          <w:szCs w:val="24"/>
        </w:rPr>
        <w:t xml:space="preserve"> </w:t>
      </w:r>
      <w:r w:rsidRPr="00425D2A">
        <w:rPr>
          <w:rFonts w:ascii="Arial" w:hAnsi="Arial" w:cs="Arial"/>
          <w:b/>
          <w:sz w:val="24"/>
          <w:szCs w:val="24"/>
        </w:rPr>
        <w:t>E</w:t>
      </w:r>
    </w:p>
    <w:p w14:paraId="6345627B" w14:textId="77777777" w:rsidR="00432E7C" w:rsidRPr="00425D2A" w:rsidRDefault="00432E7C" w:rsidP="00432E7C">
      <w:pPr>
        <w:rPr>
          <w:rFonts w:ascii="Arial" w:hAnsi="Arial" w:cs="Arial"/>
          <w:sz w:val="24"/>
          <w:szCs w:val="24"/>
        </w:rPr>
      </w:pPr>
      <w:bookmarkStart w:id="0" w:name="_GoBack"/>
      <w:bookmarkEnd w:id="0"/>
    </w:p>
    <w:p w14:paraId="77DFE538" w14:textId="632C7CC9" w:rsidR="00432E7C" w:rsidRPr="00425D2A" w:rsidRDefault="00432E7C" w:rsidP="00425D2A">
      <w:pPr>
        <w:jc w:val="both"/>
        <w:rPr>
          <w:rFonts w:ascii="Arial" w:hAnsi="Arial" w:cs="Arial"/>
          <w:sz w:val="24"/>
          <w:szCs w:val="24"/>
        </w:rPr>
      </w:pPr>
      <w:r w:rsidRPr="00425D2A">
        <w:rPr>
          <w:rFonts w:ascii="Arial" w:hAnsi="Arial" w:cs="Arial"/>
          <w:sz w:val="24"/>
          <w:szCs w:val="24"/>
        </w:rPr>
        <w:t xml:space="preserve">El suscrito Diputado </w:t>
      </w:r>
      <w:r w:rsidR="00425D2A" w:rsidRPr="00425D2A">
        <w:rPr>
          <w:rFonts w:ascii="Arial" w:hAnsi="Arial" w:cs="Arial"/>
          <w:sz w:val="24"/>
          <w:szCs w:val="24"/>
        </w:rPr>
        <w:t>Víctor</w:t>
      </w:r>
      <w:r w:rsidRPr="00425D2A">
        <w:rPr>
          <w:rFonts w:ascii="Arial" w:hAnsi="Arial" w:cs="Arial"/>
          <w:sz w:val="24"/>
          <w:szCs w:val="24"/>
        </w:rPr>
        <w:t xml:space="preserve"> Hugo Lozano Poveda, y en representación de las Diputadas y los Diputados Integrantes de la Fracción Legislativa del Partido Acción Nacional de la Sexagésima Tercera Legislatura de este Honorable Congreso del Estado de Yucatán, en ejercicio de la facultad que me confiere el artículo 35 fracción I de la Constitución Política del Estado de Yucatán; los art</w:t>
      </w:r>
      <w:r w:rsidR="00425D2A" w:rsidRPr="00425D2A">
        <w:rPr>
          <w:rFonts w:ascii="Arial" w:hAnsi="Arial" w:cs="Arial"/>
          <w:sz w:val="24"/>
          <w:szCs w:val="24"/>
        </w:rPr>
        <w:t>ículos 16 y 22 de la Ley de Gobi</w:t>
      </w:r>
      <w:r w:rsidRPr="00425D2A">
        <w:rPr>
          <w:rFonts w:ascii="Arial" w:hAnsi="Arial" w:cs="Arial"/>
          <w:sz w:val="24"/>
          <w:szCs w:val="24"/>
        </w:rPr>
        <w:t>e</w:t>
      </w:r>
      <w:r w:rsidR="00425D2A" w:rsidRPr="00425D2A">
        <w:rPr>
          <w:rFonts w:ascii="Arial" w:hAnsi="Arial" w:cs="Arial"/>
          <w:sz w:val="24"/>
          <w:szCs w:val="24"/>
        </w:rPr>
        <w:t>rno</w:t>
      </w:r>
      <w:r w:rsidRPr="00425D2A">
        <w:rPr>
          <w:rFonts w:ascii="Arial" w:hAnsi="Arial" w:cs="Arial"/>
          <w:sz w:val="24"/>
          <w:szCs w:val="24"/>
        </w:rPr>
        <w:t xml:space="preserve"> del Poder Legislativo del Estado de Yucatán, así como los artículos 68 y 69 del Reglamento de la Ley de Gobierno del Poder Legislativo del Estado de Yucatán, me permito presentar ante esta Honorable </w:t>
      </w:r>
      <w:r w:rsidR="00425D2A" w:rsidRPr="00425D2A">
        <w:rPr>
          <w:rFonts w:ascii="Arial" w:hAnsi="Arial" w:cs="Arial"/>
          <w:sz w:val="24"/>
          <w:szCs w:val="24"/>
        </w:rPr>
        <w:t>Soberanía</w:t>
      </w:r>
      <w:r w:rsidRPr="00425D2A">
        <w:rPr>
          <w:rFonts w:ascii="Arial" w:hAnsi="Arial" w:cs="Arial"/>
          <w:sz w:val="24"/>
          <w:szCs w:val="24"/>
        </w:rPr>
        <w:t xml:space="preserve">, la presente: </w:t>
      </w:r>
      <w:r w:rsidRPr="00425D2A">
        <w:rPr>
          <w:rFonts w:ascii="Arial" w:hAnsi="Arial" w:cs="Arial"/>
          <w:b/>
          <w:sz w:val="24"/>
          <w:szCs w:val="24"/>
        </w:rPr>
        <w:t>INICIATIVA CON PROYECTO DE DECRETO POR EL QUE SE MODIFICA EL CÓDIGO PENAL DEL ESTADO DE YUCATÁN EN MATERIA DE SUMISIÓN QUÍMICA,</w:t>
      </w:r>
      <w:r w:rsidRPr="00425D2A">
        <w:rPr>
          <w:rFonts w:ascii="Arial" w:hAnsi="Arial" w:cs="Arial"/>
          <w:sz w:val="24"/>
          <w:szCs w:val="24"/>
        </w:rPr>
        <w:t xml:space="preserve"> a partir de la siguiente:</w:t>
      </w:r>
    </w:p>
    <w:p w14:paraId="63697BB2" w14:textId="77777777" w:rsidR="00432E7C" w:rsidRPr="00425D2A" w:rsidRDefault="00432E7C" w:rsidP="00432E7C">
      <w:pPr>
        <w:rPr>
          <w:rFonts w:ascii="Arial" w:hAnsi="Arial" w:cs="Arial"/>
          <w:sz w:val="24"/>
          <w:szCs w:val="24"/>
        </w:rPr>
      </w:pPr>
    </w:p>
    <w:p w14:paraId="60BB3A4C" w14:textId="77777777" w:rsidR="00432E7C" w:rsidRPr="00425D2A" w:rsidRDefault="00432E7C" w:rsidP="00425D2A">
      <w:pPr>
        <w:jc w:val="center"/>
        <w:rPr>
          <w:rFonts w:ascii="Arial" w:hAnsi="Arial" w:cs="Arial"/>
          <w:b/>
          <w:sz w:val="24"/>
          <w:szCs w:val="24"/>
        </w:rPr>
      </w:pPr>
      <w:r w:rsidRPr="00425D2A">
        <w:rPr>
          <w:rFonts w:ascii="Arial" w:hAnsi="Arial" w:cs="Arial"/>
          <w:b/>
          <w:sz w:val="24"/>
          <w:szCs w:val="24"/>
        </w:rPr>
        <w:t>EXPOSICIÓN DE MOTIVOS</w:t>
      </w:r>
    </w:p>
    <w:p w14:paraId="74091C18" w14:textId="2C556F27" w:rsidR="00432E7C" w:rsidRPr="00425D2A" w:rsidRDefault="00432E7C" w:rsidP="00425D2A">
      <w:pPr>
        <w:jc w:val="both"/>
        <w:rPr>
          <w:rFonts w:ascii="Arial" w:hAnsi="Arial" w:cs="Arial"/>
          <w:sz w:val="24"/>
          <w:szCs w:val="24"/>
        </w:rPr>
      </w:pPr>
      <w:r w:rsidRPr="00425D2A">
        <w:rPr>
          <w:rFonts w:ascii="Arial" w:hAnsi="Arial" w:cs="Arial"/>
          <w:sz w:val="24"/>
          <w:szCs w:val="24"/>
        </w:rPr>
        <w:t>Actualmente, existe una tendencia de aumento de casos de personas que denuncian haber sido drogadas por sujetos inescrupulosos, con el fin de abusar sexualmente de ellas o ellos, robarles sus pertenencias, acceder a sus tarjetas de crédito y cuentas bancarias, provocarle adicciones o burlarse de ellos a raíz de la pérdida de conciencia que trae aparejado su consumo.</w:t>
      </w:r>
    </w:p>
    <w:p w14:paraId="1E35FF0F" w14:textId="76525366" w:rsidR="00432E7C" w:rsidRPr="00425D2A" w:rsidRDefault="00432E7C" w:rsidP="00425D2A">
      <w:pPr>
        <w:jc w:val="both"/>
        <w:rPr>
          <w:rFonts w:ascii="Arial" w:hAnsi="Arial" w:cs="Arial"/>
          <w:sz w:val="24"/>
          <w:szCs w:val="24"/>
        </w:rPr>
      </w:pPr>
      <w:r w:rsidRPr="00425D2A">
        <w:rPr>
          <w:rFonts w:ascii="Arial" w:hAnsi="Arial" w:cs="Arial"/>
          <w:sz w:val="24"/>
          <w:szCs w:val="24"/>
        </w:rPr>
        <w:t>Lo anteriormente expuesto, es una situación preocupante, que no encuentra tipificación alguna en nuestro Código Penal del Estado ni en algún otro ordenamiento jurídico de Yucatán y siendo una laguna legal ante una realidad existente, generada conforme evolucionan los contextos y las problemáticas sociales,</w:t>
      </w:r>
      <w:r w:rsidR="00425D2A">
        <w:rPr>
          <w:rFonts w:ascii="Arial" w:hAnsi="Arial" w:cs="Arial"/>
          <w:sz w:val="24"/>
          <w:szCs w:val="24"/>
        </w:rPr>
        <w:t xml:space="preserve"> se hace imprescindible abordarl</w:t>
      </w:r>
      <w:r w:rsidRPr="00425D2A">
        <w:rPr>
          <w:rFonts w:ascii="Arial" w:hAnsi="Arial" w:cs="Arial"/>
          <w:sz w:val="24"/>
          <w:szCs w:val="24"/>
        </w:rPr>
        <w:t>a desde el plano legislativo a fin de contar con una normatividad jurídica que establezca consecuencias legales a este tipo de conductas.</w:t>
      </w:r>
    </w:p>
    <w:p w14:paraId="0A191B8E" w14:textId="3222A64B" w:rsidR="00857A28" w:rsidRPr="00425D2A" w:rsidRDefault="00432E7C" w:rsidP="00425D2A">
      <w:pPr>
        <w:jc w:val="both"/>
        <w:rPr>
          <w:rFonts w:ascii="Arial" w:hAnsi="Arial" w:cs="Arial"/>
          <w:sz w:val="24"/>
          <w:szCs w:val="24"/>
        </w:rPr>
      </w:pPr>
      <w:r w:rsidRPr="00425D2A">
        <w:rPr>
          <w:rFonts w:ascii="Arial" w:hAnsi="Arial" w:cs="Arial"/>
          <w:sz w:val="24"/>
          <w:szCs w:val="24"/>
        </w:rPr>
        <w:t xml:space="preserve">En nuestros </w:t>
      </w:r>
      <w:r w:rsidR="00425D2A" w:rsidRPr="00425D2A">
        <w:rPr>
          <w:rFonts w:ascii="Arial" w:hAnsi="Arial" w:cs="Arial"/>
          <w:sz w:val="24"/>
          <w:szCs w:val="24"/>
        </w:rPr>
        <w:t>días</w:t>
      </w:r>
      <w:r w:rsidRPr="00425D2A">
        <w:rPr>
          <w:rFonts w:ascii="Arial" w:hAnsi="Arial" w:cs="Arial"/>
          <w:sz w:val="24"/>
          <w:szCs w:val="24"/>
        </w:rPr>
        <w:t xml:space="preserve">, cuando una persona se le suministra una sustancia o droga estupefaciente o psicotrópica, y falta su consentimiento o conocimiento, lo que se persigue penalmente es el delito cometido "a posterior", esto es, el probable robe, abuso sexual, violación sexual, entre otros. Pero técnicamente, como tipo penal no </w:t>
      </w:r>
      <w:r w:rsidR="00857A28" w:rsidRPr="00425D2A">
        <w:rPr>
          <w:rFonts w:ascii="Arial" w:hAnsi="Arial" w:cs="Arial"/>
          <w:sz w:val="24"/>
          <w:szCs w:val="24"/>
        </w:rPr>
        <w:t>encontramos en nuestra legislación yucateca</w:t>
      </w:r>
      <w:r w:rsidR="00425D2A">
        <w:rPr>
          <w:rFonts w:ascii="Arial" w:hAnsi="Arial" w:cs="Arial"/>
          <w:sz w:val="24"/>
          <w:szCs w:val="24"/>
        </w:rPr>
        <w:t xml:space="preserve">, el delito de suministrar dicha </w:t>
      </w:r>
      <w:r w:rsidR="00857A28" w:rsidRPr="00425D2A">
        <w:rPr>
          <w:rFonts w:ascii="Arial" w:hAnsi="Arial" w:cs="Arial"/>
          <w:sz w:val="24"/>
          <w:szCs w:val="24"/>
        </w:rPr>
        <w:t>sustancia o droga de forma autónoma.</w:t>
      </w:r>
    </w:p>
    <w:p w14:paraId="1C4BE520" w14:textId="2C7CECFB" w:rsidR="00857A28" w:rsidRPr="00425D2A" w:rsidRDefault="00857A28" w:rsidP="00425D2A">
      <w:pPr>
        <w:jc w:val="both"/>
        <w:rPr>
          <w:rFonts w:ascii="Arial" w:hAnsi="Arial" w:cs="Arial"/>
          <w:sz w:val="24"/>
          <w:szCs w:val="24"/>
        </w:rPr>
      </w:pPr>
      <w:r w:rsidRPr="00425D2A">
        <w:rPr>
          <w:rFonts w:ascii="Arial" w:hAnsi="Arial" w:cs="Arial"/>
          <w:sz w:val="24"/>
          <w:szCs w:val="24"/>
        </w:rPr>
        <w:t xml:space="preserve">En algunos </w:t>
      </w:r>
      <w:r w:rsidR="00425D2A" w:rsidRPr="00425D2A">
        <w:rPr>
          <w:rFonts w:ascii="Arial" w:hAnsi="Arial" w:cs="Arial"/>
          <w:sz w:val="24"/>
          <w:szCs w:val="24"/>
        </w:rPr>
        <w:t>países</w:t>
      </w:r>
      <w:r w:rsidRPr="00425D2A">
        <w:rPr>
          <w:rFonts w:ascii="Arial" w:hAnsi="Arial" w:cs="Arial"/>
          <w:sz w:val="24"/>
          <w:szCs w:val="24"/>
        </w:rPr>
        <w:t xml:space="preserve">, este fenómeno delictivo se conoce como "sumisión </w:t>
      </w:r>
      <w:r w:rsidR="00425D2A" w:rsidRPr="00425D2A">
        <w:rPr>
          <w:rFonts w:ascii="Arial" w:hAnsi="Arial" w:cs="Arial"/>
          <w:sz w:val="24"/>
          <w:szCs w:val="24"/>
        </w:rPr>
        <w:t>química</w:t>
      </w:r>
      <w:r w:rsidRPr="00425D2A">
        <w:rPr>
          <w:rFonts w:ascii="Arial" w:hAnsi="Arial" w:cs="Arial"/>
          <w:sz w:val="24"/>
          <w:szCs w:val="24"/>
        </w:rPr>
        <w:t xml:space="preserve">". Mismo que es definido por Francisco Javier </w:t>
      </w:r>
      <w:proofErr w:type="spellStart"/>
      <w:r w:rsidRPr="00425D2A">
        <w:rPr>
          <w:rFonts w:ascii="Arial" w:hAnsi="Arial" w:cs="Arial"/>
          <w:sz w:val="24"/>
          <w:szCs w:val="24"/>
        </w:rPr>
        <w:t>Nistal</w:t>
      </w:r>
      <w:proofErr w:type="spellEnd"/>
      <w:r w:rsidRPr="00425D2A">
        <w:rPr>
          <w:rFonts w:ascii="Arial" w:hAnsi="Arial" w:cs="Arial"/>
          <w:sz w:val="24"/>
          <w:szCs w:val="24"/>
        </w:rPr>
        <w:t xml:space="preserve"> como: "La administración de sustancias psicoactivas a una persona, sin su conocimiento ni consentimiento, con fines de delictivos es el fenómeno que se conoce como sumisión </w:t>
      </w:r>
      <w:r w:rsidR="00425D2A" w:rsidRPr="00425D2A">
        <w:rPr>
          <w:rFonts w:ascii="Arial" w:hAnsi="Arial" w:cs="Arial"/>
          <w:sz w:val="24"/>
          <w:szCs w:val="24"/>
        </w:rPr>
        <w:t>química</w:t>
      </w:r>
      <w:r w:rsidRPr="00425D2A">
        <w:rPr>
          <w:rFonts w:ascii="Arial" w:hAnsi="Arial" w:cs="Arial"/>
          <w:sz w:val="24"/>
          <w:szCs w:val="24"/>
        </w:rPr>
        <w:t xml:space="preserve">. Es una forma de comisión de delitos que facilita la acción a los autores de los </w:t>
      </w:r>
      <w:r w:rsidRPr="00425D2A">
        <w:rPr>
          <w:rFonts w:ascii="Arial" w:hAnsi="Arial" w:cs="Arial"/>
          <w:sz w:val="24"/>
          <w:szCs w:val="24"/>
        </w:rPr>
        <w:lastRenderedPageBreak/>
        <w:t>mismos, pues se imposibilita la defensa de la victima, dado que su voluntad se ve disminuida o anulada.</w:t>
      </w:r>
    </w:p>
    <w:p w14:paraId="27B38A0D" w14:textId="2B4F9F86" w:rsidR="00857A28" w:rsidRPr="00425D2A" w:rsidRDefault="00857A28" w:rsidP="00425D2A">
      <w:pPr>
        <w:jc w:val="both"/>
        <w:rPr>
          <w:rFonts w:ascii="Arial" w:hAnsi="Arial" w:cs="Arial"/>
          <w:sz w:val="24"/>
          <w:szCs w:val="24"/>
        </w:rPr>
      </w:pPr>
      <w:r w:rsidRPr="00425D2A">
        <w:rPr>
          <w:rFonts w:ascii="Arial" w:hAnsi="Arial" w:cs="Arial"/>
          <w:sz w:val="24"/>
          <w:szCs w:val="24"/>
        </w:rPr>
        <w:t xml:space="preserve">La sumisión </w:t>
      </w:r>
      <w:r w:rsidR="00425D2A" w:rsidRPr="00425D2A">
        <w:rPr>
          <w:rFonts w:ascii="Arial" w:hAnsi="Arial" w:cs="Arial"/>
          <w:sz w:val="24"/>
          <w:szCs w:val="24"/>
        </w:rPr>
        <w:t>química</w:t>
      </w:r>
      <w:r w:rsidRPr="00425D2A">
        <w:rPr>
          <w:rFonts w:ascii="Arial" w:hAnsi="Arial" w:cs="Arial"/>
          <w:sz w:val="24"/>
          <w:szCs w:val="24"/>
        </w:rPr>
        <w:t>, es un término francés que apareció en 1982 y se refiere a la conducta por medio de la que una persona administra a otra, sustancias psicoactivas sin el consentimiento de esta última, con fines delictivos</w:t>
      </w:r>
      <w:r w:rsidR="00893926">
        <w:rPr>
          <w:rStyle w:val="Refdenotaalpie"/>
          <w:rFonts w:ascii="Arial" w:hAnsi="Arial" w:cs="Arial"/>
          <w:sz w:val="24"/>
          <w:szCs w:val="24"/>
        </w:rPr>
        <w:footnoteReference w:id="1"/>
      </w:r>
      <w:r w:rsidRPr="00425D2A">
        <w:rPr>
          <w:rFonts w:ascii="Arial" w:hAnsi="Arial" w:cs="Arial"/>
          <w:sz w:val="24"/>
          <w:szCs w:val="24"/>
        </w:rPr>
        <w:t xml:space="preserve">. Este fenómeno ha cobrado una especial relevancia en el terreno de los delitos de carácter sexual contra mujeres. Países como España, Italia, Croacia y Francia cuentan con normas y </w:t>
      </w:r>
      <w:r w:rsidR="00425D2A" w:rsidRPr="00425D2A">
        <w:rPr>
          <w:rFonts w:ascii="Arial" w:hAnsi="Arial" w:cs="Arial"/>
          <w:sz w:val="24"/>
          <w:szCs w:val="24"/>
        </w:rPr>
        <w:t>políticas</w:t>
      </w:r>
      <w:r w:rsidRPr="00425D2A">
        <w:rPr>
          <w:rFonts w:ascii="Arial" w:hAnsi="Arial" w:cs="Arial"/>
          <w:sz w:val="24"/>
          <w:szCs w:val="24"/>
        </w:rPr>
        <w:t xml:space="preserve"> que previenen y sancionan los delitos sexuales contra mujeres por medio de las llamadas "drogas de violación" (conocidas también como </w:t>
      </w:r>
      <w:proofErr w:type="spellStart"/>
      <w:r w:rsidRPr="00425D2A">
        <w:rPr>
          <w:rFonts w:ascii="Arial" w:hAnsi="Arial" w:cs="Arial"/>
          <w:i/>
          <w:sz w:val="24"/>
          <w:szCs w:val="24"/>
        </w:rPr>
        <w:t>Drugs</w:t>
      </w:r>
      <w:proofErr w:type="spellEnd"/>
      <w:r w:rsidRPr="00425D2A">
        <w:rPr>
          <w:rFonts w:ascii="Arial" w:hAnsi="Arial" w:cs="Arial"/>
          <w:i/>
          <w:sz w:val="24"/>
          <w:szCs w:val="24"/>
        </w:rPr>
        <w:t xml:space="preserve"> </w:t>
      </w:r>
      <w:proofErr w:type="spellStart"/>
      <w:r w:rsidRPr="00425D2A">
        <w:rPr>
          <w:rFonts w:ascii="Arial" w:hAnsi="Arial" w:cs="Arial"/>
          <w:i/>
          <w:sz w:val="24"/>
          <w:szCs w:val="24"/>
        </w:rPr>
        <w:t>facilitated</w:t>
      </w:r>
      <w:proofErr w:type="spellEnd"/>
      <w:r w:rsidRPr="00425D2A">
        <w:rPr>
          <w:rFonts w:ascii="Arial" w:hAnsi="Arial" w:cs="Arial"/>
          <w:i/>
          <w:sz w:val="24"/>
          <w:szCs w:val="24"/>
        </w:rPr>
        <w:t xml:space="preserve"> sexual </w:t>
      </w:r>
      <w:proofErr w:type="spellStart"/>
      <w:r w:rsidRPr="00425D2A">
        <w:rPr>
          <w:rFonts w:ascii="Arial" w:hAnsi="Arial" w:cs="Arial"/>
          <w:i/>
          <w:sz w:val="24"/>
          <w:szCs w:val="24"/>
        </w:rPr>
        <w:t>assault</w:t>
      </w:r>
      <w:proofErr w:type="spellEnd"/>
      <w:r w:rsidRPr="00425D2A">
        <w:rPr>
          <w:rFonts w:ascii="Arial" w:hAnsi="Arial" w:cs="Arial"/>
          <w:sz w:val="24"/>
          <w:szCs w:val="24"/>
        </w:rPr>
        <w:t xml:space="preserve"> o DFS).</w:t>
      </w:r>
    </w:p>
    <w:p w14:paraId="2DC3E5B9" w14:textId="77777777" w:rsidR="00857A28" w:rsidRPr="00425D2A" w:rsidRDefault="00857A28" w:rsidP="00857A28">
      <w:pPr>
        <w:rPr>
          <w:rFonts w:ascii="Arial" w:hAnsi="Arial" w:cs="Arial"/>
          <w:sz w:val="24"/>
          <w:szCs w:val="24"/>
        </w:rPr>
      </w:pPr>
    </w:p>
    <w:p w14:paraId="4F50AB3F" w14:textId="25988CDD" w:rsidR="00857A28" w:rsidRPr="00425D2A" w:rsidRDefault="00857A28" w:rsidP="00857A28">
      <w:pPr>
        <w:rPr>
          <w:rFonts w:ascii="Arial" w:hAnsi="Arial" w:cs="Arial"/>
          <w:sz w:val="24"/>
          <w:szCs w:val="24"/>
        </w:rPr>
      </w:pPr>
      <w:r w:rsidRPr="00425D2A">
        <w:rPr>
          <w:rFonts w:ascii="Arial" w:hAnsi="Arial" w:cs="Arial"/>
          <w:sz w:val="24"/>
          <w:szCs w:val="24"/>
        </w:rPr>
        <w:t xml:space="preserve">Los datos y análisis realizados con relación a la sumisión </w:t>
      </w:r>
      <w:r w:rsidR="00425D2A" w:rsidRPr="00425D2A">
        <w:rPr>
          <w:rFonts w:ascii="Arial" w:hAnsi="Arial" w:cs="Arial"/>
          <w:sz w:val="24"/>
          <w:szCs w:val="24"/>
        </w:rPr>
        <w:t>química</w:t>
      </w:r>
      <w:r w:rsidRPr="00425D2A">
        <w:rPr>
          <w:rFonts w:ascii="Arial" w:hAnsi="Arial" w:cs="Arial"/>
          <w:sz w:val="24"/>
          <w:szCs w:val="24"/>
        </w:rPr>
        <w:t xml:space="preserve"> señalan cinco aspectos principales para su atención</w:t>
      </w:r>
      <w:r w:rsidR="00893926">
        <w:rPr>
          <w:rStyle w:val="Refdenotaalpie"/>
          <w:rFonts w:ascii="Arial" w:hAnsi="Arial" w:cs="Arial"/>
          <w:sz w:val="24"/>
          <w:szCs w:val="24"/>
        </w:rPr>
        <w:footnoteReference w:id="2"/>
      </w:r>
      <w:r w:rsidRPr="00425D2A">
        <w:rPr>
          <w:rFonts w:ascii="Arial" w:hAnsi="Arial" w:cs="Arial"/>
          <w:sz w:val="24"/>
          <w:szCs w:val="24"/>
        </w:rPr>
        <w:t>²:</w:t>
      </w:r>
    </w:p>
    <w:p w14:paraId="5B8EDB35" w14:textId="3AE6F741" w:rsidR="00425D2A" w:rsidRDefault="00857A28" w:rsidP="00425D2A">
      <w:pPr>
        <w:pStyle w:val="Prrafodelista"/>
        <w:numPr>
          <w:ilvl w:val="0"/>
          <w:numId w:val="1"/>
        </w:numPr>
        <w:jc w:val="both"/>
        <w:rPr>
          <w:rFonts w:ascii="Arial" w:hAnsi="Arial" w:cs="Arial"/>
          <w:sz w:val="24"/>
          <w:szCs w:val="24"/>
        </w:rPr>
      </w:pPr>
      <w:r w:rsidRPr="00425D2A">
        <w:rPr>
          <w:rFonts w:ascii="Arial" w:hAnsi="Arial" w:cs="Arial"/>
          <w:sz w:val="24"/>
          <w:szCs w:val="24"/>
        </w:rPr>
        <w:t>Los tipos de conducta sancionados se dividen en dos supuestos: a) a quien sin consentimiento de la víctima o sin conocimiento de la misma, le suministre sustancias psicoactivas que sometan su voluntad y b) el aprovechamiento d</w:t>
      </w:r>
      <w:r w:rsidR="00BE018B">
        <w:rPr>
          <w:rFonts w:ascii="Arial" w:hAnsi="Arial" w:cs="Arial"/>
          <w:sz w:val="24"/>
          <w:szCs w:val="24"/>
        </w:rPr>
        <w:t>el estado incapacitante de la ví</w:t>
      </w:r>
      <w:r w:rsidRPr="00425D2A">
        <w:rPr>
          <w:rFonts w:ascii="Arial" w:hAnsi="Arial" w:cs="Arial"/>
          <w:sz w:val="24"/>
          <w:szCs w:val="24"/>
        </w:rPr>
        <w:t xml:space="preserve">ctima para cometer algún delito, aún y cuando dicho estado haya sido provocado voluntariamente por esta. </w:t>
      </w:r>
    </w:p>
    <w:p w14:paraId="76B51F2B" w14:textId="2E6A0535" w:rsidR="00893926" w:rsidRDefault="00BE018B" w:rsidP="006E0F8A">
      <w:pPr>
        <w:pStyle w:val="Prrafodelista"/>
        <w:numPr>
          <w:ilvl w:val="0"/>
          <w:numId w:val="1"/>
        </w:numPr>
        <w:jc w:val="both"/>
        <w:rPr>
          <w:rFonts w:ascii="Arial" w:hAnsi="Arial" w:cs="Arial"/>
          <w:sz w:val="24"/>
          <w:szCs w:val="24"/>
        </w:rPr>
      </w:pPr>
      <w:r>
        <w:rPr>
          <w:rFonts w:ascii="Arial" w:hAnsi="Arial" w:cs="Arial"/>
          <w:sz w:val="24"/>
          <w:szCs w:val="24"/>
        </w:rPr>
        <w:t>Las ví</w:t>
      </w:r>
      <w:r w:rsidR="00857A28" w:rsidRPr="00893926">
        <w:rPr>
          <w:rFonts w:ascii="Arial" w:hAnsi="Arial" w:cs="Arial"/>
          <w:sz w:val="24"/>
          <w:szCs w:val="24"/>
        </w:rPr>
        <w:t>ctimas de estas conductas son generalmente mujeres jóvenes (entre</w:t>
      </w:r>
      <w:r w:rsidR="00893926" w:rsidRPr="00893926">
        <w:rPr>
          <w:rFonts w:ascii="Arial" w:hAnsi="Arial" w:cs="Arial"/>
          <w:sz w:val="24"/>
          <w:szCs w:val="24"/>
        </w:rPr>
        <w:t xml:space="preserve"> </w:t>
      </w:r>
      <w:r w:rsidR="00857A28" w:rsidRPr="00893926">
        <w:rPr>
          <w:rFonts w:ascii="Arial" w:hAnsi="Arial" w:cs="Arial"/>
          <w:sz w:val="24"/>
          <w:szCs w:val="24"/>
        </w:rPr>
        <w:t>15 y 19 años de edad) que, previo a sufrir el acto violento, consumieron</w:t>
      </w:r>
      <w:r w:rsidR="00893926" w:rsidRPr="00893926">
        <w:rPr>
          <w:rFonts w:ascii="Arial" w:hAnsi="Arial" w:cs="Arial"/>
          <w:sz w:val="24"/>
          <w:szCs w:val="24"/>
        </w:rPr>
        <w:t xml:space="preserve"> </w:t>
      </w:r>
      <w:r w:rsidR="00857A28" w:rsidRPr="00893926">
        <w:rPr>
          <w:rFonts w:ascii="Arial" w:hAnsi="Arial" w:cs="Arial"/>
          <w:sz w:val="24"/>
          <w:szCs w:val="24"/>
        </w:rPr>
        <w:t>alguna sustancia que pudo haber ocasionado su estado de inconciencia.</w:t>
      </w:r>
    </w:p>
    <w:p w14:paraId="09D3184D" w14:textId="7A83D2AD" w:rsidR="00893926" w:rsidRDefault="00857A28" w:rsidP="00A67C63">
      <w:pPr>
        <w:pStyle w:val="Prrafodelista"/>
        <w:numPr>
          <w:ilvl w:val="0"/>
          <w:numId w:val="1"/>
        </w:numPr>
        <w:jc w:val="both"/>
        <w:rPr>
          <w:rFonts w:ascii="Arial" w:hAnsi="Arial" w:cs="Arial"/>
          <w:sz w:val="24"/>
          <w:szCs w:val="24"/>
        </w:rPr>
      </w:pPr>
      <w:r w:rsidRPr="00893926">
        <w:rPr>
          <w:rFonts w:ascii="Arial" w:hAnsi="Arial" w:cs="Arial"/>
          <w:sz w:val="24"/>
          <w:szCs w:val="24"/>
        </w:rPr>
        <w:t xml:space="preserve">Las personas agresoras suelen ser hombres, algunos cercanos a las </w:t>
      </w:r>
      <w:r w:rsidR="00893926" w:rsidRPr="00893926">
        <w:rPr>
          <w:rFonts w:ascii="Arial" w:hAnsi="Arial" w:cs="Arial"/>
          <w:sz w:val="24"/>
          <w:szCs w:val="24"/>
        </w:rPr>
        <w:t xml:space="preserve">víctimas </w:t>
      </w:r>
      <w:r w:rsidRPr="00893926">
        <w:rPr>
          <w:rFonts w:ascii="Arial" w:hAnsi="Arial" w:cs="Arial"/>
          <w:sz w:val="24"/>
          <w:szCs w:val="24"/>
        </w:rPr>
        <w:t xml:space="preserve">como amigos, parejas, compañeros de trabajo o escuela, etc. También </w:t>
      </w:r>
      <w:r w:rsidR="00AA25FD" w:rsidRPr="00893926">
        <w:rPr>
          <w:rFonts w:ascii="Arial" w:hAnsi="Arial" w:cs="Arial"/>
          <w:sz w:val="24"/>
          <w:szCs w:val="24"/>
        </w:rPr>
        <w:t xml:space="preserve">pueden ser personas desconocidas que se encuentran en una situación ventajosa respecto a la </w:t>
      </w:r>
      <w:r w:rsidR="00893926" w:rsidRPr="00893926">
        <w:rPr>
          <w:rFonts w:ascii="Arial" w:hAnsi="Arial" w:cs="Arial"/>
          <w:sz w:val="24"/>
          <w:szCs w:val="24"/>
        </w:rPr>
        <w:t>víctima</w:t>
      </w:r>
      <w:r w:rsidR="00AA25FD" w:rsidRPr="00893926">
        <w:rPr>
          <w:rFonts w:ascii="Arial" w:hAnsi="Arial" w:cs="Arial"/>
          <w:sz w:val="24"/>
          <w:szCs w:val="24"/>
        </w:rPr>
        <w:t>.</w:t>
      </w:r>
    </w:p>
    <w:p w14:paraId="1D937301" w14:textId="040F6A44" w:rsidR="00893926" w:rsidRDefault="00AA25FD" w:rsidP="00AA25FD">
      <w:pPr>
        <w:pStyle w:val="Prrafodelista"/>
        <w:numPr>
          <w:ilvl w:val="0"/>
          <w:numId w:val="1"/>
        </w:numPr>
        <w:jc w:val="both"/>
        <w:rPr>
          <w:rFonts w:ascii="Arial" w:hAnsi="Arial" w:cs="Arial"/>
          <w:sz w:val="24"/>
          <w:szCs w:val="24"/>
        </w:rPr>
      </w:pPr>
      <w:r w:rsidRPr="00893926">
        <w:rPr>
          <w:rFonts w:ascii="Arial" w:hAnsi="Arial" w:cs="Arial"/>
          <w:sz w:val="24"/>
          <w:szCs w:val="24"/>
        </w:rPr>
        <w:t>Este tipo de casos usualmente se presenta en contextos "sin aparente riesgo como lugares de esparcimiento o, incluso, en los mismos domicilios de las</w:t>
      </w:r>
      <w:r w:rsidR="00893926">
        <w:rPr>
          <w:rFonts w:ascii="Arial" w:hAnsi="Arial" w:cs="Arial"/>
          <w:sz w:val="24"/>
          <w:szCs w:val="24"/>
        </w:rPr>
        <w:t xml:space="preserve"> </w:t>
      </w:r>
      <w:r w:rsidR="00893926" w:rsidRPr="00893926">
        <w:rPr>
          <w:rFonts w:ascii="Arial" w:hAnsi="Arial" w:cs="Arial"/>
          <w:sz w:val="24"/>
          <w:szCs w:val="24"/>
        </w:rPr>
        <w:t>víctimas</w:t>
      </w:r>
      <w:r w:rsidRPr="00893926">
        <w:rPr>
          <w:rFonts w:ascii="Arial" w:hAnsi="Arial" w:cs="Arial"/>
          <w:sz w:val="24"/>
          <w:szCs w:val="24"/>
        </w:rPr>
        <w:t>.</w:t>
      </w:r>
    </w:p>
    <w:p w14:paraId="17D199D4" w14:textId="0B188837" w:rsidR="00AA25FD" w:rsidRPr="00893926" w:rsidRDefault="00AA25FD" w:rsidP="00893926">
      <w:pPr>
        <w:pStyle w:val="Prrafodelista"/>
        <w:numPr>
          <w:ilvl w:val="0"/>
          <w:numId w:val="1"/>
        </w:numPr>
        <w:jc w:val="both"/>
        <w:rPr>
          <w:rFonts w:ascii="Arial" w:hAnsi="Arial" w:cs="Arial"/>
          <w:sz w:val="24"/>
          <w:szCs w:val="24"/>
        </w:rPr>
      </w:pPr>
      <w:r w:rsidRPr="00893926">
        <w:rPr>
          <w:rFonts w:ascii="Arial" w:hAnsi="Arial" w:cs="Arial"/>
          <w:sz w:val="24"/>
          <w:szCs w:val="24"/>
        </w:rPr>
        <w:t xml:space="preserve">El móvil de las sustancias psicoactivas generalmente son bebidas </w:t>
      </w:r>
      <w:r w:rsidR="00893926" w:rsidRPr="00893926">
        <w:rPr>
          <w:rFonts w:ascii="Arial" w:hAnsi="Arial" w:cs="Arial"/>
          <w:sz w:val="24"/>
          <w:szCs w:val="24"/>
        </w:rPr>
        <w:t>alcohólicas</w:t>
      </w:r>
      <w:r w:rsidRPr="00893926">
        <w:rPr>
          <w:rFonts w:ascii="Arial" w:hAnsi="Arial" w:cs="Arial"/>
          <w:sz w:val="24"/>
          <w:szCs w:val="24"/>
        </w:rPr>
        <w:t xml:space="preserve">. Las sustancias utilizadas son de acción rápida, con </w:t>
      </w:r>
      <w:r w:rsidR="00893926" w:rsidRPr="00893926">
        <w:rPr>
          <w:rFonts w:ascii="Arial" w:hAnsi="Arial" w:cs="Arial"/>
          <w:sz w:val="24"/>
          <w:szCs w:val="24"/>
        </w:rPr>
        <w:t>síntomas</w:t>
      </w:r>
      <w:r w:rsidRPr="00893926">
        <w:rPr>
          <w:rFonts w:ascii="Arial" w:hAnsi="Arial" w:cs="Arial"/>
          <w:sz w:val="24"/>
          <w:szCs w:val="24"/>
        </w:rPr>
        <w:t xml:space="preserve"> poco característicos, de fácil obtención y de </w:t>
      </w:r>
      <w:r w:rsidR="00893926" w:rsidRPr="00893926">
        <w:rPr>
          <w:rFonts w:ascii="Arial" w:hAnsi="Arial" w:cs="Arial"/>
          <w:sz w:val="24"/>
          <w:szCs w:val="24"/>
        </w:rPr>
        <w:t>características</w:t>
      </w:r>
      <w:r w:rsidR="00893926">
        <w:rPr>
          <w:rFonts w:ascii="Arial" w:hAnsi="Arial" w:cs="Arial"/>
          <w:sz w:val="24"/>
          <w:szCs w:val="24"/>
        </w:rPr>
        <w:t xml:space="preserve"> </w:t>
      </w:r>
      <w:proofErr w:type="spellStart"/>
      <w:r w:rsidR="00893926">
        <w:rPr>
          <w:rFonts w:ascii="Arial" w:hAnsi="Arial" w:cs="Arial"/>
          <w:sz w:val="24"/>
          <w:szCs w:val="24"/>
        </w:rPr>
        <w:t>inoloras</w:t>
      </w:r>
      <w:proofErr w:type="spellEnd"/>
      <w:r w:rsidR="00893926">
        <w:rPr>
          <w:rFonts w:ascii="Arial" w:hAnsi="Arial" w:cs="Arial"/>
          <w:sz w:val="24"/>
          <w:szCs w:val="24"/>
        </w:rPr>
        <w:t xml:space="preserve">, </w:t>
      </w:r>
      <w:proofErr w:type="spellStart"/>
      <w:r w:rsidR="00893926" w:rsidRPr="00893926">
        <w:rPr>
          <w:rFonts w:ascii="Arial" w:hAnsi="Arial" w:cs="Arial"/>
          <w:sz w:val="24"/>
          <w:szCs w:val="24"/>
        </w:rPr>
        <w:t>i</w:t>
      </w:r>
      <w:r w:rsidRPr="00893926">
        <w:rPr>
          <w:rFonts w:ascii="Arial" w:hAnsi="Arial" w:cs="Arial"/>
          <w:sz w:val="24"/>
          <w:szCs w:val="24"/>
        </w:rPr>
        <w:t>nsaboras</w:t>
      </w:r>
      <w:proofErr w:type="spellEnd"/>
      <w:r w:rsidRPr="00893926">
        <w:rPr>
          <w:rFonts w:ascii="Arial" w:hAnsi="Arial" w:cs="Arial"/>
          <w:sz w:val="24"/>
          <w:szCs w:val="24"/>
        </w:rPr>
        <w:t>, incoloras y cuya permanencia en el cuerpo es corta, lo que dificulta su identificación.</w:t>
      </w:r>
    </w:p>
    <w:p w14:paraId="5F072A56" w14:textId="77777777" w:rsidR="00AA25FD" w:rsidRPr="00425D2A" w:rsidRDefault="00AA25FD" w:rsidP="00AA25FD">
      <w:pPr>
        <w:rPr>
          <w:rFonts w:ascii="Arial" w:hAnsi="Arial" w:cs="Arial"/>
          <w:sz w:val="24"/>
          <w:szCs w:val="24"/>
        </w:rPr>
      </w:pPr>
    </w:p>
    <w:p w14:paraId="063B6AB6" w14:textId="5863FB38" w:rsidR="00AA25FD" w:rsidRPr="00425D2A" w:rsidRDefault="00AA25FD" w:rsidP="006E6D81">
      <w:pPr>
        <w:jc w:val="both"/>
        <w:rPr>
          <w:rFonts w:ascii="Arial" w:hAnsi="Arial" w:cs="Arial"/>
          <w:sz w:val="24"/>
          <w:szCs w:val="24"/>
        </w:rPr>
      </w:pPr>
      <w:r w:rsidRPr="00425D2A">
        <w:rPr>
          <w:rFonts w:ascii="Arial" w:hAnsi="Arial" w:cs="Arial"/>
          <w:sz w:val="24"/>
          <w:szCs w:val="24"/>
        </w:rPr>
        <w:lastRenderedPageBreak/>
        <w:t xml:space="preserve">En México la falta de una </w:t>
      </w:r>
      <w:r w:rsidR="00893926" w:rsidRPr="00425D2A">
        <w:rPr>
          <w:rFonts w:ascii="Arial" w:hAnsi="Arial" w:cs="Arial"/>
          <w:sz w:val="24"/>
          <w:szCs w:val="24"/>
        </w:rPr>
        <w:t>política</w:t>
      </w:r>
      <w:r w:rsidRPr="00425D2A">
        <w:rPr>
          <w:rFonts w:ascii="Arial" w:hAnsi="Arial" w:cs="Arial"/>
          <w:sz w:val="24"/>
          <w:szCs w:val="24"/>
        </w:rPr>
        <w:t xml:space="preserve"> pertinente para atender esta forma de violencia contra las mujeres e incluso de hombres, mediante el uso de sustancias que reducen su voluntad y resistencia a conductas sexuales, limita en gran medida la actuación de las instituciones de salud, seguridad y justicia en la prevención, investigación y sanción de estos actos. </w:t>
      </w:r>
      <w:r w:rsidR="00893926" w:rsidRPr="00425D2A">
        <w:rPr>
          <w:rFonts w:ascii="Arial" w:hAnsi="Arial" w:cs="Arial"/>
          <w:sz w:val="24"/>
          <w:szCs w:val="24"/>
        </w:rPr>
        <w:t>Así</w:t>
      </w:r>
      <w:r w:rsidRPr="00425D2A">
        <w:rPr>
          <w:rFonts w:ascii="Arial" w:hAnsi="Arial" w:cs="Arial"/>
          <w:sz w:val="24"/>
          <w:szCs w:val="24"/>
        </w:rPr>
        <w:t xml:space="preserve"> lo demuestra el informe "Violencia, Mujeres y Drogas de Violación presentado en 2017 por el Grupo de Cooperación para Combatir el Abuso y el Tráfico </w:t>
      </w:r>
      <w:r w:rsidR="00893926">
        <w:rPr>
          <w:rFonts w:ascii="Arial" w:hAnsi="Arial" w:cs="Arial"/>
          <w:sz w:val="24"/>
          <w:szCs w:val="24"/>
        </w:rPr>
        <w:t>I</w:t>
      </w:r>
      <w:r w:rsidR="00893926" w:rsidRPr="00425D2A">
        <w:rPr>
          <w:rFonts w:ascii="Arial" w:hAnsi="Arial" w:cs="Arial"/>
          <w:sz w:val="24"/>
          <w:szCs w:val="24"/>
        </w:rPr>
        <w:t>lícito</w:t>
      </w:r>
      <w:r w:rsidRPr="00425D2A">
        <w:rPr>
          <w:rFonts w:ascii="Arial" w:hAnsi="Arial" w:cs="Arial"/>
          <w:sz w:val="24"/>
          <w:szCs w:val="24"/>
        </w:rPr>
        <w:t xml:space="preserve"> de Drogas (Grupo </w:t>
      </w:r>
      <w:proofErr w:type="spellStart"/>
      <w:r w:rsidRPr="00425D2A">
        <w:rPr>
          <w:rFonts w:ascii="Arial" w:hAnsi="Arial" w:cs="Arial"/>
          <w:sz w:val="24"/>
          <w:szCs w:val="24"/>
        </w:rPr>
        <w:t>Pompidou</w:t>
      </w:r>
      <w:proofErr w:type="spellEnd"/>
      <w:r w:rsidRPr="00425D2A">
        <w:rPr>
          <w:rFonts w:ascii="Arial" w:hAnsi="Arial" w:cs="Arial"/>
          <w:sz w:val="24"/>
          <w:szCs w:val="24"/>
        </w:rPr>
        <w:t>) del Consejo de Europa, documento en el que se pone de manifiesto la ausencia de información por parte del Estado Mexicano.</w:t>
      </w:r>
    </w:p>
    <w:p w14:paraId="4227E9A1" w14:textId="0EA96BD6" w:rsidR="00AA25FD" w:rsidRPr="00425D2A" w:rsidRDefault="00AA25FD" w:rsidP="006E6D81">
      <w:pPr>
        <w:jc w:val="both"/>
        <w:rPr>
          <w:rFonts w:ascii="Arial" w:hAnsi="Arial" w:cs="Arial"/>
          <w:sz w:val="24"/>
          <w:szCs w:val="24"/>
        </w:rPr>
      </w:pPr>
      <w:r w:rsidRPr="00425D2A">
        <w:rPr>
          <w:rFonts w:ascii="Arial" w:hAnsi="Arial" w:cs="Arial"/>
          <w:sz w:val="24"/>
          <w:szCs w:val="24"/>
        </w:rPr>
        <w:t>Al respecto, es necesario advertir que el Comité CEDAW ha destacado la obligación de los Estados para adoptar medidas adecuadas para impedir, investigar y castigar los actos de violencia s</w:t>
      </w:r>
      <w:r w:rsidR="00893926">
        <w:rPr>
          <w:rFonts w:ascii="Arial" w:hAnsi="Arial" w:cs="Arial"/>
          <w:sz w:val="24"/>
          <w:szCs w:val="24"/>
        </w:rPr>
        <w:t>exual contra las mujeres que su</w:t>
      </w:r>
      <w:r w:rsidRPr="00425D2A">
        <w:rPr>
          <w:rFonts w:ascii="Arial" w:hAnsi="Arial" w:cs="Arial"/>
          <w:sz w:val="24"/>
          <w:szCs w:val="24"/>
        </w:rPr>
        <w:t>ceden de manera "privada"</w:t>
      </w:r>
      <w:r w:rsidR="006E6D81">
        <w:rPr>
          <w:rStyle w:val="Refdenotaalpie"/>
          <w:rFonts w:ascii="Arial" w:hAnsi="Arial" w:cs="Arial"/>
          <w:sz w:val="24"/>
          <w:szCs w:val="24"/>
        </w:rPr>
        <w:footnoteReference w:id="3"/>
      </w:r>
      <w:r w:rsidRPr="00425D2A">
        <w:rPr>
          <w:rFonts w:ascii="Arial" w:hAnsi="Arial" w:cs="Arial"/>
          <w:sz w:val="24"/>
          <w:szCs w:val="24"/>
        </w:rPr>
        <w:t>.</w:t>
      </w:r>
    </w:p>
    <w:p w14:paraId="103A99A3" w14:textId="0787FDC2" w:rsidR="00AA25FD" w:rsidRPr="00425D2A" w:rsidRDefault="00AA25FD" w:rsidP="00893926">
      <w:pPr>
        <w:jc w:val="both"/>
        <w:rPr>
          <w:rFonts w:ascii="Arial" w:hAnsi="Arial" w:cs="Arial"/>
          <w:sz w:val="24"/>
          <w:szCs w:val="24"/>
        </w:rPr>
      </w:pPr>
      <w:r w:rsidRPr="00425D2A">
        <w:rPr>
          <w:rFonts w:ascii="Arial" w:hAnsi="Arial" w:cs="Arial"/>
          <w:sz w:val="24"/>
          <w:szCs w:val="24"/>
        </w:rPr>
        <w:t xml:space="preserve">La violencia sexual a través de la sumisión </w:t>
      </w:r>
      <w:r w:rsidR="00893926" w:rsidRPr="00425D2A">
        <w:rPr>
          <w:rFonts w:ascii="Arial" w:hAnsi="Arial" w:cs="Arial"/>
          <w:sz w:val="24"/>
          <w:szCs w:val="24"/>
        </w:rPr>
        <w:t>química</w:t>
      </w:r>
      <w:r w:rsidRPr="00425D2A">
        <w:rPr>
          <w:rFonts w:ascii="Arial" w:hAnsi="Arial" w:cs="Arial"/>
          <w:sz w:val="24"/>
          <w:szCs w:val="24"/>
        </w:rPr>
        <w:t xml:space="preserve"> implica diferentes problemas; por un lado, </w:t>
      </w:r>
      <w:r w:rsidR="00BE018B">
        <w:rPr>
          <w:rFonts w:ascii="Arial" w:hAnsi="Arial" w:cs="Arial"/>
          <w:sz w:val="24"/>
          <w:szCs w:val="24"/>
        </w:rPr>
        <w:t>estigmatización social de las ví</w:t>
      </w:r>
      <w:r w:rsidRPr="00425D2A">
        <w:rPr>
          <w:rFonts w:ascii="Arial" w:hAnsi="Arial" w:cs="Arial"/>
          <w:sz w:val="24"/>
          <w:szCs w:val="24"/>
        </w:rPr>
        <w:t xml:space="preserve">ctimas, en su mayoría, mujeres, que consumen bebidas embriagantes o sustancias psicotrópicas, provocando la </w:t>
      </w:r>
      <w:proofErr w:type="spellStart"/>
      <w:r w:rsidRPr="00425D2A">
        <w:rPr>
          <w:rFonts w:ascii="Arial" w:hAnsi="Arial" w:cs="Arial"/>
          <w:sz w:val="24"/>
          <w:szCs w:val="24"/>
        </w:rPr>
        <w:t>revictimización</w:t>
      </w:r>
      <w:proofErr w:type="spellEnd"/>
      <w:r w:rsidRPr="00425D2A">
        <w:rPr>
          <w:rFonts w:ascii="Arial" w:hAnsi="Arial" w:cs="Arial"/>
          <w:sz w:val="24"/>
          <w:szCs w:val="24"/>
        </w:rPr>
        <w:t xml:space="preserve"> de estas; lo anterior afecta la voluntad de las víctimas para presentar sus denuncias, lo cual conlleva a limitaciones en el acceso a la justicia; por último, el no contar con denuncias impide la delimitación de indicadores que permitan conocer el </w:t>
      </w:r>
      <w:proofErr w:type="spellStart"/>
      <w:r w:rsidR="0073259B">
        <w:rPr>
          <w:rFonts w:ascii="Arial" w:hAnsi="Arial" w:cs="Arial"/>
          <w:sz w:val="24"/>
          <w:szCs w:val="24"/>
        </w:rPr>
        <w:t>panorá</w:t>
      </w:r>
      <w:r w:rsidR="0073259B" w:rsidRPr="00425D2A">
        <w:rPr>
          <w:rFonts w:ascii="Arial" w:hAnsi="Arial" w:cs="Arial"/>
          <w:sz w:val="24"/>
          <w:szCs w:val="24"/>
        </w:rPr>
        <w:t>ma</w:t>
      </w:r>
      <w:proofErr w:type="spellEnd"/>
      <w:r w:rsidRPr="00425D2A">
        <w:rPr>
          <w:rFonts w:ascii="Arial" w:hAnsi="Arial" w:cs="Arial"/>
          <w:sz w:val="24"/>
          <w:szCs w:val="24"/>
        </w:rPr>
        <w:t xml:space="preserve"> actual en nuestro país, por ende, las </w:t>
      </w:r>
      <w:r w:rsidR="00893926" w:rsidRPr="00425D2A">
        <w:rPr>
          <w:rFonts w:ascii="Arial" w:hAnsi="Arial" w:cs="Arial"/>
          <w:sz w:val="24"/>
          <w:szCs w:val="24"/>
        </w:rPr>
        <w:t>políticas</w:t>
      </w:r>
      <w:r w:rsidRPr="00425D2A">
        <w:rPr>
          <w:rFonts w:ascii="Arial" w:hAnsi="Arial" w:cs="Arial"/>
          <w:sz w:val="24"/>
          <w:szCs w:val="24"/>
        </w:rPr>
        <w:t xml:space="preserve"> de seguridad y salud son insuficientes.</w:t>
      </w:r>
    </w:p>
    <w:p w14:paraId="79B59EE7" w14:textId="136472C5" w:rsidR="0073259B" w:rsidRPr="00425D2A" w:rsidRDefault="00AA25FD" w:rsidP="0073259B">
      <w:pPr>
        <w:jc w:val="both"/>
        <w:rPr>
          <w:rFonts w:ascii="Arial" w:hAnsi="Arial" w:cs="Arial"/>
          <w:sz w:val="24"/>
          <w:szCs w:val="24"/>
        </w:rPr>
      </w:pPr>
      <w:r w:rsidRPr="00425D2A">
        <w:rPr>
          <w:rFonts w:ascii="Arial" w:hAnsi="Arial" w:cs="Arial"/>
          <w:sz w:val="24"/>
          <w:szCs w:val="24"/>
        </w:rPr>
        <w:t xml:space="preserve">En la actualidad, Campeche, Chiapas, Chihuahua, Coahuila de Zaragoza, Oaxaca, San Luis </w:t>
      </w:r>
      <w:proofErr w:type="spellStart"/>
      <w:r w:rsidRPr="00425D2A">
        <w:rPr>
          <w:rFonts w:ascii="Arial" w:hAnsi="Arial" w:cs="Arial"/>
          <w:sz w:val="24"/>
          <w:szCs w:val="24"/>
        </w:rPr>
        <w:t>Potosi</w:t>
      </w:r>
      <w:proofErr w:type="spellEnd"/>
      <w:r w:rsidRPr="00425D2A">
        <w:rPr>
          <w:rFonts w:ascii="Arial" w:hAnsi="Arial" w:cs="Arial"/>
          <w:sz w:val="24"/>
          <w:szCs w:val="24"/>
        </w:rPr>
        <w:t>, Veracruz de Ignacio de la Llave y Yucatán ya han incorporado dentro de su legislación aspectos relacionados con la prevención y sanción de los</w:t>
      </w:r>
      <w:r w:rsidR="0073259B">
        <w:rPr>
          <w:rFonts w:ascii="Arial" w:hAnsi="Arial" w:cs="Arial"/>
          <w:sz w:val="24"/>
          <w:szCs w:val="24"/>
        </w:rPr>
        <w:t xml:space="preserve"> </w:t>
      </w:r>
      <w:r w:rsidR="0073259B" w:rsidRPr="00425D2A">
        <w:rPr>
          <w:rFonts w:ascii="Arial" w:hAnsi="Arial" w:cs="Arial"/>
          <w:sz w:val="24"/>
          <w:szCs w:val="24"/>
        </w:rPr>
        <w:t>casos de sumisión química relacionados con la violencia sexual contra mujeres. Sin embargo, de acuerdo con el marco normativo aplicable resulta indispensable complementar las adecuaciones legislativas que hasta el momento se han hecho.</w:t>
      </w:r>
    </w:p>
    <w:p w14:paraId="7BA1829B" w14:textId="7FCCFCCB" w:rsidR="006E6D81" w:rsidRPr="00425D2A" w:rsidRDefault="006E6D81" w:rsidP="006E6D81">
      <w:pPr>
        <w:jc w:val="both"/>
        <w:rPr>
          <w:rFonts w:ascii="Arial" w:hAnsi="Arial" w:cs="Arial"/>
          <w:sz w:val="24"/>
          <w:szCs w:val="24"/>
        </w:rPr>
      </w:pPr>
      <w:r w:rsidRPr="00425D2A">
        <w:rPr>
          <w:rFonts w:ascii="Arial" w:hAnsi="Arial" w:cs="Arial"/>
          <w:sz w:val="24"/>
          <w:szCs w:val="24"/>
        </w:rPr>
        <w:t>La Convención Interamericana para Prevenir, Sancionar y Erradicar la Violencia contra la Mujer -Convención Belem do Para- señala en su artículo 7 que los Estados cuentan con el deber de actuar diligentemente para combatir la violencia contra la mujer, específicamente en sus párrafos cuarto y sex</w:t>
      </w:r>
      <w:r>
        <w:rPr>
          <w:rFonts w:ascii="Arial" w:hAnsi="Arial" w:cs="Arial"/>
          <w:sz w:val="24"/>
          <w:szCs w:val="24"/>
        </w:rPr>
        <w:t>t</w:t>
      </w:r>
      <w:r w:rsidRPr="00425D2A">
        <w:rPr>
          <w:rFonts w:ascii="Arial" w:hAnsi="Arial" w:cs="Arial"/>
          <w:sz w:val="24"/>
          <w:szCs w:val="24"/>
        </w:rPr>
        <w:t>o contempla lo siguiente:</w:t>
      </w:r>
    </w:p>
    <w:p w14:paraId="6FFF8A1C" w14:textId="57098E79" w:rsidR="005B7CF3" w:rsidRPr="00425D2A" w:rsidRDefault="006E6D81" w:rsidP="006E6D81">
      <w:pPr>
        <w:ind w:left="426" w:firstLine="426"/>
        <w:jc w:val="both"/>
        <w:rPr>
          <w:rFonts w:ascii="Arial" w:hAnsi="Arial" w:cs="Arial"/>
          <w:sz w:val="24"/>
          <w:szCs w:val="24"/>
        </w:rPr>
      </w:pPr>
      <w:r>
        <w:rPr>
          <w:rFonts w:ascii="Arial" w:hAnsi="Arial" w:cs="Arial"/>
          <w:sz w:val="24"/>
          <w:szCs w:val="24"/>
        </w:rPr>
        <w:t xml:space="preserve">“ </w:t>
      </w:r>
      <w:r w:rsidRPr="00425D2A">
        <w:rPr>
          <w:rFonts w:ascii="Arial" w:hAnsi="Arial" w:cs="Arial"/>
          <w:sz w:val="24"/>
          <w:szCs w:val="24"/>
        </w:rPr>
        <w:t>[...]</w:t>
      </w:r>
      <w:r w:rsidR="005B7CF3" w:rsidRPr="006E6D81">
        <w:rPr>
          <w:rFonts w:ascii="Arial" w:hAnsi="Arial" w:cs="Arial"/>
          <w:sz w:val="20"/>
          <w:szCs w:val="24"/>
        </w:rPr>
        <w:t xml:space="preserve"> c. incluir en su legislación interna normas penales, civiles y administrativas, </w:t>
      </w:r>
      <w:r w:rsidRPr="006E6D81">
        <w:rPr>
          <w:rFonts w:ascii="Arial" w:hAnsi="Arial" w:cs="Arial"/>
          <w:sz w:val="20"/>
          <w:szCs w:val="24"/>
        </w:rPr>
        <w:t>así</w:t>
      </w:r>
      <w:r w:rsidR="005B7CF3" w:rsidRPr="006E6D81">
        <w:rPr>
          <w:rFonts w:ascii="Arial" w:hAnsi="Arial" w:cs="Arial"/>
          <w:sz w:val="20"/>
          <w:szCs w:val="24"/>
        </w:rPr>
        <w:t xml:space="preserve"> como las de otra naturaleza que sean necesarias para prevenir, sancionar y erradicar la violencia contra la mujer y adoptar las medidas administrativas apropiadas que sean del caso; [...] tomar todas las medidas apropiadas, incluyendo medidas de tipo legislativo, para modificar o abolir leyes y reglamentos vigentes, o para modificar prácticas </w:t>
      </w:r>
      <w:r w:rsidRPr="006E6D81">
        <w:rPr>
          <w:rFonts w:ascii="Arial" w:hAnsi="Arial" w:cs="Arial"/>
          <w:sz w:val="20"/>
          <w:szCs w:val="24"/>
        </w:rPr>
        <w:t>jurídicas</w:t>
      </w:r>
      <w:r w:rsidR="005B7CF3" w:rsidRPr="006E6D81">
        <w:rPr>
          <w:rFonts w:ascii="Arial" w:hAnsi="Arial" w:cs="Arial"/>
          <w:sz w:val="20"/>
          <w:szCs w:val="24"/>
        </w:rPr>
        <w:t xml:space="preserve"> o consuetudinarias que respalden la persistencia o la tolerancia de la violencia contra la mujer </w:t>
      </w:r>
      <w:r w:rsidR="005B7CF3" w:rsidRPr="00425D2A">
        <w:rPr>
          <w:rFonts w:ascii="Arial" w:hAnsi="Arial" w:cs="Arial"/>
          <w:sz w:val="24"/>
          <w:szCs w:val="24"/>
        </w:rPr>
        <w:t>[...]"</w:t>
      </w:r>
    </w:p>
    <w:p w14:paraId="39623FD8" w14:textId="77777777" w:rsidR="005B7CF3" w:rsidRPr="00425D2A" w:rsidRDefault="005B7CF3" w:rsidP="005B7CF3">
      <w:pPr>
        <w:rPr>
          <w:rFonts w:ascii="Arial" w:hAnsi="Arial" w:cs="Arial"/>
          <w:sz w:val="24"/>
          <w:szCs w:val="24"/>
        </w:rPr>
      </w:pPr>
    </w:p>
    <w:p w14:paraId="09381C10" w14:textId="50DEA0D2" w:rsidR="005B7CF3" w:rsidRPr="00425D2A" w:rsidRDefault="005B7CF3" w:rsidP="006E6D81">
      <w:pPr>
        <w:jc w:val="both"/>
        <w:rPr>
          <w:rFonts w:ascii="Arial" w:hAnsi="Arial" w:cs="Arial"/>
          <w:sz w:val="24"/>
          <w:szCs w:val="24"/>
        </w:rPr>
      </w:pPr>
      <w:r w:rsidRPr="00425D2A">
        <w:rPr>
          <w:rFonts w:ascii="Arial" w:hAnsi="Arial" w:cs="Arial"/>
          <w:sz w:val="24"/>
          <w:szCs w:val="24"/>
        </w:rPr>
        <w:lastRenderedPageBreak/>
        <w:t xml:space="preserve">Ahora bien, aún y cuando la violencia de género y los delitos de naturaleza sexual son cometidos, mayoritariamente, contra mujeres, no pasa desapercibido el potencial riesgo que corren las personas con una orientación sexual, identidad o expresión de género diferente a la hegemónica pues, al ir en contra de un sistema patriarcal y binario que supone el predominio de los roles masculinos heterosexuales y </w:t>
      </w:r>
      <w:proofErr w:type="spellStart"/>
      <w:r w:rsidRPr="00425D2A">
        <w:rPr>
          <w:rFonts w:ascii="Arial" w:hAnsi="Arial" w:cs="Arial"/>
          <w:sz w:val="24"/>
          <w:szCs w:val="24"/>
        </w:rPr>
        <w:t>cisgénero</w:t>
      </w:r>
      <w:proofErr w:type="spellEnd"/>
      <w:r w:rsidRPr="00425D2A">
        <w:rPr>
          <w:rFonts w:ascii="Arial" w:hAnsi="Arial" w:cs="Arial"/>
          <w:sz w:val="24"/>
          <w:szCs w:val="24"/>
        </w:rPr>
        <w:t xml:space="preserve">, se </w:t>
      </w:r>
      <w:r w:rsidR="006E6D81" w:rsidRPr="00425D2A">
        <w:rPr>
          <w:rFonts w:ascii="Arial" w:hAnsi="Arial" w:cs="Arial"/>
          <w:sz w:val="24"/>
          <w:szCs w:val="24"/>
        </w:rPr>
        <w:t>encuentran</w:t>
      </w:r>
      <w:r w:rsidRPr="00425D2A">
        <w:rPr>
          <w:rFonts w:ascii="Arial" w:hAnsi="Arial" w:cs="Arial"/>
          <w:sz w:val="24"/>
          <w:szCs w:val="24"/>
        </w:rPr>
        <w:t xml:space="preserve"> en una situación de especial vulnerabilidad.</w:t>
      </w:r>
    </w:p>
    <w:p w14:paraId="38BC73CF" w14:textId="296D6E0B" w:rsidR="005B7CF3" w:rsidRPr="00425D2A" w:rsidRDefault="005B7CF3" w:rsidP="006E6D81">
      <w:pPr>
        <w:jc w:val="both"/>
        <w:rPr>
          <w:rFonts w:ascii="Arial" w:hAnsi="Arial" w:cs="Arial"/>
          <w:sz w:val="24"/>
          <w:szCs w:val="24"/>
        </w:rPr>
      </w:pPr>
      <w:r w:rsidRPr="00425D2A">
        <w:rPr>
          <w:rFonts w:ascii="Arial" w:hAnsi="Arial" w:cs="Arial"/>
          <w:sz w:val="24"/>
          <w:szCs w:val="24"/>
        </w:rPr>
        <w:t xml:space="preserve">Al respecto, la Comisión Interamericana de Derechos Humanos se ha pronunciado en el informe "Violencia contra Personas Lesbianas, Gay, Bisexuales, </w:t>
      </w:r>
      <w:proofErr w:type="spellStart"/>
      <w:r w:rsidRPr="00425D2A">
        <w:rPr>
          <w:rFonts w:ascii="Arial" w:hAnsi="Arial" w:cs="Arial"/>
          <w:sz w:val="24"/>
          <w:szCs w:val="24"/>
        </w:rPr>
        <w:t>Trans</w:t>
      </w:r>
      <w:proofErr w:type="spellEnd"/>
      <w:r w:rsidRPr="00425D2A">
        <w:rPr>
          <w:rFonts w:ascii="Arial" w:hAnsi="Arial" w:cs="Arial"/>
          <w:sz w:val="24"/>
          <w:szCs w:val="24"/>
        </w:rPr>
        <w:t xml:space="preserve"> e </w:t>
      </w:r>
      <w:proofErr w:type="spellStart"/>
      <w:r w:rsidRPr="00425D2A">
        <w:rPr>
          <w:rFonts w:ascii="Arial" w:hAnsi="Arial" w:cs="Arial"/>
          <w:sz w:val="24"/>
          <w:szCs w:val="24"/>
        </w:rPr>
        <w:t>Intersex</w:t>
      </w:r>
      <w:proofErr w:type="spellEnd"/>
      <w:r w:rsidRPr="00425D2A">
        <w:rPr>
          <w:rFonts w:ascii="Arial" w:hAnsi="Arial" w:cs="Arial"/>
          <w:sz w:val="24"/>
          <w:szCs w:val="24"/>
        </w:rPr>
        <w:t xml:space="preserve"> en América" de 2015, en el cual observa que las manifestaciones de violencia contra las personas cuyos cuerpos y expresiones difieren del </w:t>
      </w:r>
      <w:proofErr w:type="spellStart"/>
      <w:r w:rsidRPr="00425D2A">
        <w:rPr>
          <w:rFonts w:ascii="Arial" w:hAnsi="Arial" w:cs="Arial"/>
          <w:sz w:val="24"/>
          <w:szCs w:val="24"/>
        </w:rPr>
        <w:t>estandar</w:t>
      </w:r>
      <w:proofErr w:type="spellEnd"/>
      <w:r w:rsidRPr="00425D2A">
        <w:rPr>
          <w:rFonts w:ascii="Arial" w:hAnsi="Arial" w:cs="Arial"/>
          <w:sz w:val="24"/>
          <w:szCs w:val="24"/>
        </w:rPr>
        <w:t xml:space="preserve"> de "normalidad</w:t>
      </w:r>
      <w:r w:rsidR="00BE018B">
        <w:rPr>
          <w:rFonts w:ascii="Arial" w:hAnsi="Arial" w:cs="Arial"/>
          <w:sz w:val="24"/>
          <w:szCs w:val="24"/>
        </w:rPr>
        <w:t>”</w:t>
      </w:r>
      <w:r w:rsidRPr="00425D2A">
        <w:rPr>
          <w:rFonts w:ascii="Arial" w:hAnsi="Arial" w:cs="Arial"/>
          <w:sz w:val="24"/>
          <w:szCs w:val="24"/>
        </w:rPr>
        <w:t xml:space="preserve"> están basadas en "el deseo del perpetrador de 'castigar</w:t>
      </w:r>
      <w:r w:rsidR="00BE018B">
        <w:rPr>
          <w:rFonts w:ascii="Arial" w:hAnsi="Arial" w:cs="Arial"/>
          <w:sz w:val="24"/>
          <w:szCs w:val="24"/>
        </w:rPr>
        <w:t>’</w:t>
      </w:r>
      <w:r w:rsidRPr="00425D2A">
        <w:rPr>
          <w:rFonts w:ascii="Arial" w:hAnsi="Arial" w:cs="Arial"/>
          <w:sz w:val="24"/>
          <w:szCs w:val="24"/>
        </w:rPr>
        <w:t xml:space="preserve">". La Comisión IDH advierte que la violencia contra las personas LGBTI+ es una forma de violencia de género motivada por estereotipos y justificaciones </w:t>
      </w:r>
      <w:proofErr w:type="spellStart"/>
      <w:r w:rsidRPr="00425D2A">
        <w:rPr>
          <w:rFonts w:ascii="Arial" w:hAnsi="Arial" w:cs="Arial"/>
          <w:sz w:val="24"/>
          <w:szCs w:val="24"/>
        </w:rPr>
        <w:t>heteronormativas</w:t>
      </w:r>
      <w:proofErr w:type="spellEnd"/>
      <w:r w:rsidR="006E6D81">
        <w:rPr>
          <w:rStyle w:val="Refdenotaalpie"/>
          <w:rFonts w:ascii="Arial" w:hAnsi="Arial" w:cs="Arial"/>
          <w:sz w:val="24"/>
          <w:szCs w:val="24"/>
        </w:rPr>
        <w:footnoteReference w:id="4"/>
      </w:r>
      <w:r w:rsidRPr="00425D2A">
        <w:rPr>
          <w:rFonts w:ascii="Arial" w:hAnsi="Arial" w:cs="Arial"/>
          <w:sz w:val="24"/>
          <w:szCs w:val="24"/>
        </w:rPr>
        <w:t>.</w:t>
      </w:r>
    </w:p>
    <w:p w14:paraId="788B5E2A" w14:textId="788C4580" w:rsidR="006E6D81" w:rsidRPr="00425D2A" w:rsidRDefault="005B7CF3" w:rsidP="006E6D81">
      <w:pPr>
        <w:jc w:val="both"/>
        <w:rPr>
          <w:rFonts w:ascii="Arial" w:hAnsi="Arial" w:cs="Arial"/>
          <w:sz w:val="24"/>
          <w:szCs w:val="24"/>
        </w:rPr>
      </w:pPr>
      <w:r w:rsidRPr="00425D2A">
        <w:rPr>
          <w:rFonts w:ascii="Arial" w:hAnsi="Arial" w:cs="Arial"/>
          <w:sz w:val="24"/>
          <w:szCs w:val="24"/>
        </w:rPr>
        <w:t xml:space="preserve">Al igual que los casos de violencia contra mujeres, la violencia contra personas LGBTI+ adolece de datos </w:t>
      </w:r>
      <w:r w:rsidR="006E6D81" w:rsidRPr="00425D2A">
        <w:rPr>
          <w:rFonts w:ascii="Arial" w:hAnsi="Arial" w:cs="Arial"/>
          <w:sz w:val="24"/>
          <w:szCs w:val="24"/>
        </w:rPr>
        <w:t>estadísticos</w:t>
      </w:r>
      <w:r w:rsidRPr="00425D2A">
        <w:rPr>
          <w:rFonts w:ascii="Arial" w:hAnsi="Arial" w:cs="Arial"/>
          <w:sz w:val="24"/>
          <w:szCs w:val="24"/>
        </w:rPr>
        <w:t xml:space="preserve"> suficientes que permitan contemplar el nivel de </w:t>
      </w:r>
      <w:proofErr w:type="spellStart"/>
      <w:r w:rsidRPr="00425D2A">
        <w:rPr>
          <w:rFonts w:ascii="Arial" w:hAnsi="Arial" w:cs="Arial"/>
          <w:sz w:val="24"/>
          <w:szCs w:val="24"/>
        </w:rPr>
        <w:t>justiciabilidad</w:t>
      </w:r>
      <w:proofErr w:type="spellEnd"/>
      <w:r w:rsidRPr="00425D2A">
        <w:rPr>
          <w:rFonts w:ascii="Arial" w:hAnsi="Arial" w:cs="Arial"/>
          <w:sz w:val="24"/>
          <w:szCs w:val="24"/>
        </w:rPr>
        <w:t>, principalmente por el temor a represalias por parte de las personas</w:t>
      </w:r>
      <w:r w:rsidR="006E6D81">
        <w:rPr>
          <w:rFonts w:ascii="Arial" w:hAnsi="Arial" w:cs="Arial"/>
          <w:sz w:val="24"/>
          <w:szCs w:val="24"/>
        </w:rPr>
        <w:t xml:space="preserve"> </w:t>
      </w:r>
      <w:r w:rsidR="006E6D81" w:rsidRPr="00425D2A">
        <w:rPr>
          <w:rFonts w:ascii="Arial" w:hAnsi="Arial" w:cs="Arial"/>
          <w:sz w:val="24"/>
          <w:szCs w:val="24"/>
        </w:rPr>
        <w:t>agresoras así como por la falta de confianza en las</w:t>
      </w:r>
      <w:r w:rsidR="00BE018B">
        <w:rPr>
          <w:rFonts w:ascii="Arial" w:hAnsi="Arial" w:cs="Arial"/>
          <w:sz w:val="24"/>
          <w:szCs w:val="24"/>
        </w:rPr>
        <w:t xml:space="preserve"> instituciones de seguridad y j</w:t>
      </w:r>
      <w:r w:rsidR="006E6D81" w:rsidRPr="00425D2A">
        <w:rPr>
          <w:rFonts w:ascii="Arial" w:hAnsi="Arial" w:cs="Arial"/>
          <w:sz w:val="24"/>
          <w:szCs w:val="24"/>
        </w:rPr>
        <w:t>usticia.</w:t>
      </w:r>
    </w:p>
    <w:p w14:paraId="08FA25F7" w14:textId="77777777" w:rsidR="007E4F32" w:rsidRPr="00425D2A" w:rsidRDefault="007E4F32" w:rsidP="006E6D81">
      <w:pPr>
        <w:jc w:val="both"/>
        <w:rPr>
          <w:rFonts w:ascii="Arial" w:hAnsi="Arial" w:cs="Arial"/>
          <w:sz w:val="24"/>
          <w:szCs w:val="24"/>
        </w:rPr>
      </w:pPr>
      <w:r w:rsidRPr="00425D2A">
        <w:rPr>
          <w:rFonts w:ascii="Arial" w:hAnsi="Arial" w:cs="Arial"/>
          <w:sz w:val="24"/>
          <w:szCs w:val="24"/>
        </w:rPr>
        <w:t>De acuerdo con estimaciones de la Comisión, las personas LGBTI+ son especialmente vulnerables ante la violencia de género de naturaleza sexual, toda vez que el hecho de ir en contra de las expectativas sociales los somete a la sanción y degradación por medio de actos como violación u otros actos de violencia sexual</w:t>
      </w:r>
    </w:p>
    <w:p w14:paraId="33427CB3" w14:textId="361AB925" w:rsidR="007E4F32" w:rsidRPr="00425D2A" w:rsidRDefault="007E4F32" w:rsidP="006E6D81">
      <w:pPr>
        <w:jc w:val="both"/>
        <w:rPr>
          <w:rFonts w:ascii="Arial" w:hAnsi="Arial" w:cs="Arial"/>
          <w:sz w:val="24"/>
          <w:szCs w:val="24"/>
        </w:rPr>
      </w:pPr>
      <w:r w:rsidRPr="00425D2A">
        <w:rPr>
          <w:rFonts w:ascii="Arial" w:hAnsi="Arial" w:cs="Arial"/>
          <w:sz w:val="24"/>
          <w:szCs w:val="24"/>
        </w:rPr>
        <w:t>De igual forma, la Corte Interamericana de Derechos Humanos advierte la vulnerabilidad de las personas LGBTI+ frente a contextos inseguros y violentos como detenciones arbitrarias, malos tratos, extorsiones, violaciones sexuales, entre otras conductas más</w:t>
      </w:r>
      <w:r w:rsidR="00344CB0">
        <w:rPr>
          <w:rStyle w:val="Refdenotaalpie"/>
          <w:rFonts w:ascii="Arial" w:hAnsi="Arial" w:cs="Arial"/>
          <w:sz w:val="24"/>
          <w:szCs w:val="24"/>
        </w:rPr>
        <w:footnoteReference w:id="5"/>
      </w:r>
      <w:r w:rsidRPr="00425D2A">
        <w:rPr>
          <w:rFonts w:ascii="Arial" w:hAnsi="Arial" w:cs="Arial"/>
          <w:sz w:val="24"/>
          <w:szCs w:val="24"/>
        </w:rPr>
        <w:t>.</w:t>
      </w:r>
    </w:p>
    <w:p w14:paraId="35DBE2F1" w14:textId="298CC5CF" w:rsidR="007E4F32" w:rsidRPr="00425D2A" w:rsidRDefault="007E4F32" w:rsidP="006E6D81">
      <w:pPr>
        <w:jc w:val="both"/>
        <w:rPr>
          <w:rFonts w:ascii="Arial" w:hAnsi="Arial" w:cs="Arial"/>
          <w:sz w:val="24"/>
          <w:szCs w:val="24"/>
        </w:rPr>
      </w:pPr>
      <w:r w:rsidRPr="00425D2A">
        <w:rPr>
          <w:rFonts w:ascii="Arial" w:hAnsi="Arial" w:cs="Arial"/>
          <w:sz w:val="24"/>
          <w:szCs w:val="24"/>
        </w:rPr>
        <w:t>Asimismo, la Corte aprecia que la violencia sexual, dada su naturaleza, rev</w:t>
      </w:r>
      <w:r w:rsidR="006E6D81">
        <w:rPr>
          <w:rFonts w:ascii="Arial" w:hAnsi="Arial" w:cs="Arial"/>
          <w:sz w:val="24"/>
          <w:szCs w:val="24"/>
        </w:rPr>
        <w:t xml:space="preserve">iste </w:t>
      </w:r>
      <w:r w:rsidRPr="00425D2A">
        <w:rPr>
          <w:rFonts w:ascii="Arial" w:hAnsi="Arial" w:cs="Arial"/>
          <w:sz w:val="24"/>
          <w:szCs w:val="24"/>
        </w:rPr>
        <w:t xml:space="preserve">conductas de agresión que dificultan la consecución de pruebas y/o testimonios que formen convicción en los y las operadoras de justicia pues, aún y cuando la declaración de las víctimas es una prueba fundamental, la falta de evidencia </w:t>
      </w:r>
      <w:r w:rsidR="006E6D81" w:rsidRPr="00425D2A">
        <w:rPr>
          <w:rFonts w:ascii="Arial" w:hAnsi="Arial" w:cs="Arial"/>
          <w:sz w:val="24"/>
          <w:szCs w:val="24"/>
        </w:rPr>
        <w:t>física</w:t>
      </w:r>
      <w:r w:rsidRPr="00425D2A">
        <w:rPr>
          <w:rFonts w:ascii="Arial" w:hAnsi="Arial" w:cs="Arial"/>
          <w:sz w:val="24"/>
          <w:szCs w:val="24"/>
        </w:rPr>
        <w:t xml:space="preserve"> como marcas, cicatrices u otros elementos que supongan la existencia de afectaciones a la integridad de la </w:t>
      </w:r>
      <w:r w:rsidR="006E6D81" w:rsidRPr="00425D2A">
        <w:rPr>
          <w:rFonts w:ascii="Arial" w:hAnsi="Arial" w:cs="Arial"/>
          <w:sz w:val="24"/>
          <w:szCs w:val="24"/>
        </w:rPr>
        <w:t>víctima</w:t>
      </w:r>
      <w:r w:rsidRPr="00425D2A">
        <w:rPr>
          <w:rFonts w:ascii="Arial" w:hAnsi="Arial" w:cs="Arial"/>
          <w:sz w:val="24"/>
          <w:szCs w:val="24"/>
        </w:rPr>
        <w:t xml:space="preserve"> dificulta su </w:t>
      </w:r>
      <w:proofErr w:type="spellStart"/>
      <w:r w:rsidRPr="00425D2A">
        <w:rPr>
          <w:rFonts w:ascii="Arial" w:hAnsi="Arial" w:cs="Arial"/>
          <w:sz w:val="24"/>
          <w:szCs w:val="24"/>
        </w:rPr>
        <w:t>justiciabilidad</w:t>
      </w:r>
      <w:proofErr w:type="spellEnd"/>
      <w:r w:rsidR="00344CB0">
        <w:rPr>
          <w:rStyle w:val="Refdenotaalpie"/>
          <w:rFonts w:ascii="Arial" w:hAnsi="Arial" w:cs="Arial"/>
          <w:sz w:val="24"/>
          <w:szCs w:val="24"/>
        </w:rPr>
        <w:footnoteReference w:id="6"/>
      </w:r>
      <w:r w:rsidR="006E6D81">
        <w:rPr>
          <w:rFonts w:ascii="Arial" w:hAnsi="Arial" w:cs="Arial"/>
          <w:sz w:val="24"/>
          <w:szCs w:val="24"/>
        </w:rPr>
        <w:t>.</w:t>
      </w:r>
    </w:p>
    <w:p w14:paraId="7B61D9C7" w14:textId="77777777" w:rsidR="007E4F32" w:rsidRPr="00425D2A" w:rsidRDefault="007E4F32" w:rsidP="006E6D81">
      <w:pPr>
        <w:jc w:val="both"/>
        <w:rPr>
          <w:rFonts w:ascii="Arial" w:hAnsi="Arial" w:cs="Arial"/>
          <w:sz w:val="24"/>
          <w:szCs w:val="24"/>
        </w:rPr>
      </w:pPr>
      <w:r w:rsidRPr="00425D2A">
        <w:rPr>
          <w:rFonts w:ascii="Arial" w:hAnsi="Arial" w:cs="Arial"/>
          <w:sz w:val="24"/>
          <w:szCs w:val="24"/>
        </w:rPr>
        <w:lastRenderedPageBreak/>
        <w:t>Es por ello que, que debe considerarse que tanto las mujeres como la población LGBTIQ+ requieren de un marco normativo que les proteja de las conductas lesivas, misóginas y furtivas que afecten la esfera de sus derechos humanos.</w:t>
      </w:r>
    </w:p>
    <w:p w14:paraId="5653225E" w14:textId="7F6A53A3" w:rsidR="007E4F32" w:rsidRPr="00425D2A" w:rsidRDefault="007E4F32" w:rsidP="006E6D81">
      <w:pPr>
        <w:jc w:val="both"/>
        <w:rPr>
          <w:rFonts w:ascii="Arial" w:hAnsi="Arial" w:cs="Arial"/>
          <w:sz w:val="24"/>
          <w:szCs w:val="24"/>
        </w:rPr>
      </w:pPr>
      <w:r w:rsidRPr="00425D2A">
        <w:rPr>
          <w:rFonts w:ascii="Arial" w:hAnsi="Arial" w:cs="Arial"/>
          <w:sz w:val="24"/>
          <w:szCs w:val="24"/>
        </w:rPr>
        <w:t xml:space="preserve">La violencia de género supone una forma de discriminación y, con ello, de desigualdad. Nuestra Carta Magna reconoce en el </w:t>
      </w:r>
      <w:r w:rsidR="006E6D81" w:rsidRPr="00425D2A">
        <w:rPr>
          <w:rFonts w:ascii="Arial" w:hAnsi="Arial" w:cs="Arial"/>
          <w:sz w:val="24"/>
          <w:szCs w:val="24"/>
        </w:rPr>
        <w:t>artículo</w:t>
      </w:r>
      <w:r w:rsidRPr="00425D2A">
        <w:rPr>
          <w:rFonts w:ascii="Arial" w:hAnsi="Arial" w:cs="Arial"/>
          <w:sz w:val="24"/>
          <w:szCs w:val="24"/>
        </w:rPr>
        <w:t xml:space="preserve"> 4 la igualdad entre las mujeres y los hombres. Adicionalmente, el párrafo primero del artículo segundo de la Constitución de Yucatán señala la obligación de promover, respetar y proteger los derechos humanos de las personas a través de una perspectiva de género.</w:t>
      </w:r>
    </w:p>
    <w:p w14:paraId="7CA6949C" w14:textId="5B06C9A8" w:rsidR="007E4F32" w:rsidRPr="00425D2A" w:rsidRDefault="007E4F32" w:rsidP="006E6D81">
      <w:pPr>
        <w:jc w:val="both"/>
        <w:rPr>
          <w:rFonts w:ascii="Arial" w:hAnsi="Arial" w:cs="Arial"/>
          <w:sz w:val="24"/>
          <w:szCs w:val="24"/>
        </w:rPr>
      </w:pPr>
      <w:r w:rsidRPr="00425D2A">
        <w:rPr>
          <w:rFonts w:ascii="Arial" w:hAnsi="Arial" w:cs="Arial"/>
          <w:sz w:val="24"/>
          <w:szCs w:val="24"/>
        </w:rPr>
        <w:t>Tal como lo señaló la Organización de las Naciones Unidas, la actividad legislativa debe privilegiar un enfoque exhaustivo que tipifique todas las formas de violencia contra la mujer, además de contemplar medidas de carácter preventivo, de protección, empoderamiento y apoyo a las víctimas</w:t>
      </w:r>
      <w:r w:rsidR="00344CB0">
        <w:rPr>
          <w:rStyle w:val="Refdenotaalpie"/>
          <w:rFonts w:ascii="Arial" w:hAnsi="Arial" w:cs="Arial"/>
          <w:sz w:val="24"/>
          <w:szCs w:val="24"/>
        </w:rPr>
        <w:footnoteReference w:id="7"/>
      </w:r>
      <w:r w:rsidRPr="00425D2A">
        <w:rPr>
          <w:rFonts w:ascii="Arial" w:hAnsi="Arial" w:cs="Arial"/>
          <w:sz w:val="24"/>
          <w:szCs w:val="24"/>
        </w:rPr>
        <w:t>.</w:t>
      </w:r>
    </w:p>
    <w:p w14:paraId="1DA01059" w14:textId="77777777" w:rsidR="007E4F32" w:rsidRPr="00425D2A" w:rsidRDefault="007E4F32" w:rsidP="007E4F32">
      <w:pPr>
        <w:rPr>
          <w:rFonts w:ascii="Arial" w:hAnsi="Arial" w:cs="Arial"/>
          <w:sz w:val="24"/>
          <w:szCs w:val="24"/>
        </w:rPr>
      </w:pPr>
    </w:p>
    <w:p w14:paraId="40847E34" w14:textId="74DEC97B" w:rsidR="00EE39A9" w:rsidRPr="00425D2A" w:rsidRDefault="00EE39A9" w:rsidP="00344CB0">
      <w:pPr>
        <w:jc w:val="both"/>
        <w:rPr>
          <w:rFonts w:ascii="Arial" w:hAnsi="Arial" w:cs="Arial"/>
          <w:sz w:val="24"/>
          <w:szCs w:val="24"/>
        </w:rPr>
      </w:pPr>
      <w:r w:rsidRPr="00425D2A">
        <w:rPr>
          <w:rFonts w:ascii="Arial" w:hAnsi="Arial" w:cs="Arial"/>
          <w:sz w:val="24"/>
          <w:szCs w:val="24"/>
        </w:rPr>
        <w:t xml:space="preserve">En suma, la conducta en referencia denominada como se ha expuesto "sumisión </w:t>
      </w:r>
      <w:r w:rsidR="00800D2B" w:rsidRPr="00425D2A">
        <w:rPr>
          <w:rFonts w:ascii="Arial" w:hAnsi="Arial" w:cs="Arial"/>
          <w:sz w:val="24"/>
          <w:szCs w:val="24"/>
        </w:rPr>
        <w:t>química</w:t>
      </w:r>
      <w:r w:rsidRPr="00425D2A">
        <w:rPr>
          <w:rFonts w:ascii="Arial" w:hAnsi="Arial" w:cs="Arial"/>
          <w:sz w:val="24"/>
          <w:szCs w:val="24"/>
        </w:rPr>
        <w:t xml:space="preserve">" no solo se utiliza para delinquir posteriormente, sino también es utiliza para vengarse, humillar o generar dependencia </w:t>
      </w:r>
      <w:r w:rsidR="00800D2B" w:rsidRPr="00425D2A">
        <w:rPr>
          <w:rFonts w:ascii="Arial" w:hAnsi="Arial" w:cs="Arial"/>
          <w:sz w:val="24"/>
          <w:szCs w:val="24"/>
        </w:rPr>
        <w:t>física</w:t>
      </w:r>
      <w:r w:rsidRPr="00425D2A">
        <w:rPr>
          <w:rFonts w:ascii="Arial" w:hAnsi="Arial" w:cs="Arial"/>
          <w:sz w:val="24"/>
          <w:szCs w:val="24"/>
        </w:rPr>
        <w:t xml:space="preserve"> y síquica en otra persona, atentando gravemente contra su dignidad humana. Y en estos casos, actualmente, resulta imposible subsumir la conducta en un delito ya existente y tipificado en la norma penal, reiterando que no existe como tal el delito; de tal forma que queda impune la conducta de su autor y de los copartícipes.</w:t>
      </w:r>
    </w:p>
    <w:p w14:paraId="35EA755F" w14:textId="77777777" w:rsidR="00EE39A9" w:rsidRPr="00425D2A" w:rsidRDefault="00EE39A9" w:rsidP="00800D2B">
      <w:pPr>
        <w:jc w:val="both"/>
        <w:rPr>
          <w:rFonts w:ascii="Arial" w:hAnsi="Arial" w:cs="Arial"/>
          <w:sz w:val="24"/>
          <w:szCs w:val="24"/>
        </w:rPr>
      </w:pPr>
      <w:r w:rsidRPr="00425D2A">
        <w:rPr>
          <w:rFonts w:ascii="Arial" w:hAnsi="Arial" w:cs="Arial"/>
          <w:sz w:val="24"/>
          <w:szCs w:val="24"/>
        </w:rPr>
        <w:t>Por estas y demás razones compañeras y compañeros Diputados se hace necesario tipificar este nuevo delito, incorporándolo a nuestra Legislación Penal del Estado de Yucatán.</w:t>
      </w:r>
    </w:p>
    <w:p w14:paraId="7EA5873D" w14:textId="77777777" w:rsidR="00EE39A9" w:rsidRPr="00425D2A" w:rsidRDefault="00EE39A9" w:rsidP="00EE39A9">
      <w:pPr>
        <w:rPr>
          <w:rFonts w:ascii="Arial" w:hAnsi="Arial" w:cs="Arial"/>
          <w:sz w:val="24"/>
          <w:szCs w:val="24"/>
        </w:rPr>
      </w:pPr>
    </w:p>
    <w:p w14:paraId="2C76663B" w14:textId="5697B887" w:rsidR="00EE39A9" w:rsidRPr="00425D2A" w:rsidRDefault="00EE39A9" w:rsidP="00800D2B">
      <w:pPr>
        <w:jc w:val="both"/>
        <w:rPr>
          <w:rFonts w:ascii="Arial" w:hAnsi="Arial" w:cs="Arial"/>
          <w:sz w:val="24"/>
          <w:szCs w:val="24"/>
        </w:rPr>
      </w:pPr>
      <w:r w:rsidRPr="00425D2A">
        <w:rPr>
          <w:rFonts w:ascii="Arial" w:hAnsi="Arial" w:cs="Arial"/>
          <w:sz w:val="24"/>
          <w:szCs w:val="24"/>
        </w:rPr>
        <w:t>Es por las consideraciones anteriores que presento ante este Pleno la INICIATIVA</w:t>
      </w:r>
      <w:r w:rsidR="00800D2B">
        <w:rPr>
          <w:rFonts w:ascii="Arial" w:hAnsi="Arial" w:cs="Arial"/>
          <w:sz w:val="24"/>
          <w:szCs w:val="24"/>
        </w:rPr>
        <w:t xml:space="preserve"> </w:t>
      </w:r>
      <w:r w:rsidRPr="00425D2A">
        <w:rPr>
          <w:rFonts w:ascii="Arial" w:hAnsi="Arial" w:cs="Arial"/>
          <w:sz w:val="24"/>
          <w:szCs w:val="24"/>
        </w:rPr>
        <w:t>CON PROYECTO DE DECRETO POR EL QUE SE MODIFICA EL CÓDIGO PENAL</w:t>
      </w:r>
      <w:r w:rsidR="00800D2B">
        <w:rPr>
          <w:rFonts w:ascii="Arial" w:hAnsi="Arial" w:cs="Arial"/>
          <w:sz w:val="24"/>
          <w:szCs w:val="24"/>
        </w:rPr>
        <w:t xml:space="preserve"> </w:t>
      </w:r>
      <w:r w:rsidRPr="00425D2A">
        <w:rPr>
          <w:rFonts w:ascii="Arial" w:hAnsi="Arial" w:cs="Arial"/>
          <w:sz w:val="24"/>
          <w:szCs w:val="24"/>
        </w:rPr>
        <w:t>DEL ESTADO DE YUCATÁN EN MATERIA DE SUMISIÓN QUÍMICA en los</w:t>
      </w:r>
      <w:r w:rsidR="00800D2B">
        <w:rPr>
          <w:rFonts w:ascii="Arial" w:hAnsi="Arial" w:cs="Arial"/>
          <w:sz w:val="24"/>
          <w:szCs w:val="24"/>
        </w:rPr>
        <w:t xml:space="preserve"> </w:t>
      </w:r>
      <w:r w:rsidRPr="00425D2A">
        <w:rPr>
          <w:rFonts w:ascii="Arial" w:hAnsi="Arial" w:cs="Arial"/>
          <w:sz w:val="24"/>
          <w:szCs w:val="24"/>
        </w:rPr>
        <w:t>siguientes términos:</w:t>
      </w:r>
    </w:p>
    <w:p w14:paraId="553CA5A5" w14:textId="77777777" w:rsidR="00EE39A9" w:rsidRPr="00425D2A" w:rsidRDefault="00EE39A9" w:rsidP="00EE39A9">
      <w:pPr>
        <w:rPr>
          <w:rFonts w:ascii="Arial" w:hAnsi="Arial" w:cs="Arial"/>
          <w:sz w:val="24"/>
          <w:szCs w:val="24"/>
        </w:rPr>
      </w:pPr>
    </w:p>
    <w:p w14:paraId="12AB9E56" w14:textId="77777777" w:rsidR="00EE39A9" w:rsidRPr="00800D2B" w:rsidRDefault="00EE39A9" w:rsidP="00800D2B">
      <w:pPr>
        <w:jc w:val="center"/>
        <w:rPr>
          <w:rFonts w:ascii="Arial" w:hAnsi="Arial" w:cs="Arial"/>
          <w:b/>
          <w:sz w:val="24"/>
          <w:szCs w:val="24"/>
        </w:rPr>
      </w:pPr>
      <w:r w:rsidRPr="00800D2B">
        <w:rPr>
          <w:rFonts w:ascii="Arial" w:hAnsi="Arial" w:cs="Arial"/>
          <w:b/>
          <w:sz w:val="24"/>
          <w:szCs w:val="24"/>
        </w:rPr>
        <w:t>Decreto</w:t>
      </w:r>
    </w:p>
    <w:p w14:paraId="73C59C15" w14:textId="77777777" w:rsidR="00800D2B" w:rsidRPr="00800D2B" w:rsidRDefault="00EE39A9" w:rsidP="00800D2B">
      <w:pPr>
        <w:jc w:val="both"/>
        <w:rPr>
          <w:rFonts w:ascii="Arial" w:hAnsi="Arial" w:cs="Arial"/>
          <w:b/>
          <w:sz w:val="24"/>
          <w:szCs w:val="24"/>
        </w:rPr>
      </w:pPr>
      <w:r w:rsidRPr="00800D2B">
        <w:rPr>
          <w:rFonts w:ascii="Arial" w:hAnsi="Arial" w:cs="Arial"/>
          <w:b/>
          <w:sz w:val="24"/>
          <w:szCs w:val="24"/>
        </w:rPr>
        <w:t xml:space="preserve">Por el que se modifica el Código Penal del Estado de Yucatán en materia de Sumisión </w:t>
      </w:r>
      <w:r w:rsidR="00800D2B" w:rsidRPr="00800D2B">
        <w:rPr>
          <w:rFonts w:ascii="Arial" w:hAnsi="Arial" w:cs="Arial"/>
          <w:b/>
          <w:sz w:val="24"/>
          <w:szCs w:val="24"/>
        </w:rPr>
        <w:t>Química</w:t>
      </w:r>
      <w:r w:rsidRPr="00800D2B">
        <w:rPr>
          <w:rFonts w:ascii="Arial" w:hAnsi="Arial" w:cs="Arial"/>
          <w:b/>
          <w:sz w:val="24"/>
          <w:szCs w:val="24"/>
        </w:rPr>
        <w:t xml:space="preserve">. </w:t>
      </w:r>
    </w:p>
    <w:p w14:paraId="1747DE57" w14:textId="53A23E3C" w:rsidR="00EE39A9" w:rsidRPr="00800D2B" w:rsidRDefault="00EE39A9" w:rsidP="00800D2B">
      <w:pPr>
        <w:jc w:val="both"/>
        <w:rPr>
          <w:rFonts w:ascii="Arial" w:hAnsi="Arial" w:cs="Arial"/>
          <w:b/>
          <w:sz w:val="24"/>
          <w:szCs w:val="24"/>
        </w:rPr>
      </w:pPr>
      <w:r w:rsidRPr="00800D2B">
        <w:rPr>
          <w:rFonts w:ascii="Arial" w:hAnsi="Arial" w:cs="Arial"/>
          <w:b/>
          <w:sz w:val="24"/>
          <w:szCs w:val="24"/>
        </w:rPr>
        <w:t>Único. Se adiciona la fracción VII al artículo 316, recorriéndose la subsecuente</w:t>
      </w:r>
      <w:r w:rsidR="00800D2B" w:rsidRPr="00800D2B">
        <w:rPr>
          <w:rFonts w:ascii="Arial" w:hAnsi="Arial" w:cs="Arial"/>
          <w:b/>
          <w:sz w:val="24"/>
          <w:szCs w:val="24"/>
        </w:rPr>
        <w:t xml:space="preserve"> </w:t>
      </w:r>
      <w:r w:rsidRPr="00800D2B">
        <w:rPr>
          <w:rFonts w:ascii="Arial" w:hAnsi="Arial" w:cs="Arial"/>
          <w:b/>
          <w:sz w:val="24"/>
          <w:szCs w:val="24"/>
        </w:rPr>
        <w:t xml:space="preserve">en su orden, y se adiciona la fracción XIV del </w:t>
      </w:r>
      <w:r w:rsidR="00800D2B" w:rsidRPr="00800D2B">
        <w:rPr>
          <w:rFonts w:ascii="Arial" w:hAnsi="Arial" w:cs="Arial"/>
          <w:b/>
          <w:sz w:val="24"/>
          <w:szCs w:val="24"/>
        </w:rPr>
        <w:t>artículo</w:t>
      </w:r>
      <w:r w:rsidRPr="00800D2B">
        <w:rPr>
          <w:rFonts w:ascii="Arial" w:hAnsi="Arial" w:cs="Arial"/>
          <w:b/>
          <w:sz w:val="24"/>
          <w:szCs w:val="24"/>
        </w:rPr>
        <w:t xml:space="preserve"> 335 para quedar como</w:t>
      </w:r>
      <w:r w:rsidR="00800D2B" w:rsidRPr="00800D2B">
        <w:rPr>
          <w:rFonts w:ascii="Arial" w:hAnsi="Arial" w:cs="Arial"/>
          <w:b/>
          <w:sz w:val="24"/>
          <w:szCs w:val="24"/>
        </w:rPr>
        <w:t xml:space="preserve"> </w:t>
      </w:r>
      <w:r w:rsidRPr="00800D2B">
        <w:rPr>
          <w:rFonts w:ascii="Arial" w:hAnsi="Arial" w:cs="Arial"/>
          <w:b/>
          <w:sz w:val="24"/>
          <w:szCs w:val="24"/>
        </w:rPr>
        <w:t>sigue:</w:t>
      </w:r>
    </w:p>
    <w:p w14:paraId="3B2970CB" w14:textId="77777777" w:rsidR="00EE39A9" w:rsidRPr="00425D2A" w:rsidRDefault="00EE39A9" w:rsidP="00EE39A9">
      <w:pPr>
        <w:rPr>
          <w:rFonts w:ascii="Arial" w:hAnsi="Arial" w:cs="Arial"/>
          <w:sz w:val="24"/>
          <w:szCs w:val="24"/>
        </w:rPr>
      </w:pPr>
    </w:p>
    <w:p w14:paraId="3FD8F6A2" w14:textId="77777777" w:rsidR="00EE39A9" w:rsidRPr="00425D2A" w:rsidRDefault="00EE39A9" w:rsidP="00EE39A9">
      <w:pPr>
        <w:rPr>
          <w:rFonts w:ascii="Arial" w:hAnsi="Arial" w:cs="Arial"/>
          <w:sz w:val="24"/>
          <w:szCs w:val="24"/>
        </w:rPr>
      </w:pPr>
      <w:r w:rsidRPr="00425D2A">
        <w:rPr>
          <w:rFonts w:ascii="Arial" w:hAnsi="Arial" w:cs="Arial"/>
          <w:sz w:val="24"/>
          <w:szCs w:val="24"/>
        </w:rPr>
        <w:lastRenderedPageBreak/>
        <w:t>Articulo 316.-...</w:t>
      </w:r>
    </w:p>
    <w:p w14:paraId="5540E81E" w14:textId="77777777" w:rsidR="00EE39A9" w:rsidRPr="00425D2A" w:rsidRDefault="00EE39A9" w:rsidP="00EE39A9">
      <w:pPr>
        <w:rPr>
          <w:rFonts w:ascii="Arial" w:hAnsi="Arial" w:cs="Arial"/>
          <w:sz w:val="24"/>
          <w:szCs w:val="24"/>
        </w:rPr>
      </w:pPr>
      <w:r w:rsidRPr="00425D2A">
        <w:rPr>
          <w:rFonts w:ascii="Arial" w:hAnsi="Arial" w:cs="Arial"/>
          <w:sz w:val="24"/>
          <w:szCs w:val="24"/>
        </w:rPr>
        <w:t>Fracciones I a la VI...</w:t>
      </w:r>
    </w:p>
    <w:p w14:paraId="36159A5F" w14:textId="77777777" w:rsidR="00EE39A9" w:rsidRPr="00425D2A" w:rsidRDefault="00EE39A9" w:rsidP="00EE39A9">
      <w:pPr>
        <w:rPr>
          <w:rFonts w:ascii="Arial" w:hAnsi="Arial" w:cs="Arial"/>
          <w:sz w:val="24"/>
          <w:szCs w:val="24"/>
        </w:rPr>
      </w:pPr>
    </w:p>
    <w:p w14:paraId="75CFFAC9" w14:textId="14545B49" w:rsidR="00EE39A9" w:rsidRPr="00800D2B" w:rsidRDefault="00EE39A9" w:rsidP="00800D2B">
      <w:pPr>
        <w:jc w:val="both"/>
        <w:rPr>
          <w:rFonts w:ascii="Arial" w:hAnsi="Arial" w:cs="Arial"/>
          <w:b/>
          <w:sz w:val="24"/>
          <w:szCs w:val="24"/>
        </w:rPr>
      </w:pPr>
      <w:r w:rsidRPr="00425D2A">
        <w:rPr>
          <w:rFonts w:ascii="Arial" w:hAnsi="Arial" w:cs="Arial"/>
          <w:sz w:val="24"/>
          <w:szCs w:val="24"/>
        </w:rPr>
        <w:t xml:space="preserve">VII.- </w:t>
      </w:r>
      <w:r w:rsidRPr="00800D2B">
        <w:rPr>
          <w:rFonts w:ascii="Arial" w:hAnsi="Arial" w:cs="Arial"/>
          <w:b/>
          <w:sz w:val="24"/>
          <w:szCs w:val="24"/>
        </w:rPr>
        <w:t>Mediante la administración sin consentimi</w:t>
      </w:r>
      <w:r w:rsidR="00BE018B">
        <w:rPr>
          <w:rFonts w:ascii="Arial" w:hAnsi="Arial" w:cs="Arial"/>
          <w:b/>
          <w:sz w:val="24"/>
          <w:szCs w:val="24"/>
        </w:rPr>
        <w:t>ento o sin conocimiento de la ví</w:t>
      </w:r>
      <w:r w:rsidRPr="00800D2B">
        <w:rPr>
          <w:rFonts w:ascii="Arial" w:hAnsi="Arial" w:cs="Arial"/>
          <w:b/>
          <w:sz w:val="24"/>
          <w:szCs w:val="24"/>
        </w:rPr>
        <w:t xml:space="preserve">ctima, de manera forzada u oculta, de fármacos, drogas o cualquier sustancia natural o </w:t>
      </w:r>
      <w:r w:rsidR="00800D2B" w:rsidRPr="00800D2B">
        <w:rPr>
          <w:rFonts w:ascii="Arial" w:hAnsi="Arial" w:cs="Arial"/>
          <w:b/>
          <w:sz w:val="24"/>
          <w:szCs w:val="24"/>
        </w:rPr>
        <w:t>química</w:t>
      </w:r>
      <w:r w:rsidRPr="00800D2B">
        <w:rPr>
          <w:rFonts w:ascii="Arial" w:hAnsi="Arial" w:cs="Arial"/>
          <w:b/>
          <w:sz w:val="24"/>
          <w:szCs w:val="24"/>
        </w:rPr>
        <w:t xml:space="preserve"> que tengan como efecto modificar su comportamiento, alterar o anular su voluntad, y</w:t>
      </w:r>
    </w:p>
    <w:p w14:paraId="46D4EDC6" w14:textId="77777777" w:rsidR="00EE39A9" w:rsidRPr="00425D2A" w:rsidRDefault="00EE39A9" w:rsidP="00EE39A9">
      <w:pPr>
        <w:rPr>
          <w:rFonts w:ascii="Arial" w:hAnsi="Arial" w:cs="Arial"/>
          <w:sz w:val="24"/>
          <w:szCs w:val="24"/>
        </w:rPr>
      </w:pPr>
    </w:p>
    <w:p w14:paraId="71B2AF66" w14:textId="77777777" w:rsidR="00EE39A9" w:rsidRPr="00425D2A" w:rsidRDefault="00EE39A9" w:rsidP="00EE39A9">
      <w:pPr>
        <w:rPr>
          <w:rFonts w:ascii="Arial" w:hAnsi="Arial" w:cs="Arial"/>
          <w:sz w:val="24"/>
          <w:szCs w:val="24"/>
        </w:rPr>
      </w:pPr>
      <w:r w:rsidRPr="00425D2A">
        <w:rPr>
          <w:rFonts w:ascii="Arial" w:hAnsi="Arial" w:cs="Arial"/>
          <w:sz w:val="24"/>
          <w:szCs w:val="24"/>
        </w:rPr>
        <w:t>VIII.- En pandilla.</w:t>
      </w:r>
    </w:p>
    <w:p w14:paraId="6EFFE086" w14:textId="77777777" w:rsidR="00EE39A9" w:rsidRPr="00425D2A" w:rsidRDefault="00EE39A9" w:rsidP="00EE39A9">
      <w:pPr>
        <w:rPr>
          <w:rFonts w:ascii="Arial" w:hAnsi="Arial" w:cs="Arial"/>
          <w:sz w:val="24"/>
          <w:szCs w:val="24"/>
        </w:rPr>
      </w:pPr>
    </w:p>
    <w:p w14:paraId="5255864F" w14:textId="0F40CA8A" w:rsidR="007E4F32" w:rsidRPr="00425D2A" w:rsidRDefault="00EE39A9">
      <w:pPr>
        <w:rPr>
          <w:rFonts w:ascii="Arial" w:hAnsi="Arial" w:cs="Arial"/>
          <w:sz w:val="24"/>
          <w:szCs w:val="24"/>
        </w:rPr>
      </w:pPr>
      <w:r w:rsidRPr="00425D2A">
        <w:rPr>
          <w:rFonts w:ascii="Arial" w:hAnsi="Arial" w:cs="Arial"/>
          <w:sz w:val="24"/>
          <w:szCs w:val="24"/>
        </w:rPr>
        <w:t>Artículo 316 bis a 334...</w:t>
      </w:r>
    </w:p>
    <w:p w14:paraId="48CA1CEF" w14:textId="536FA9D2" w:rsidR="004E1BC9" w:rsidRPr="00425D2A" w:rsidRDefault="00800D2B" w:rsidP="00800D2B">
      <w:pPr>
        <w:jc w:val="both"/>
        <w:rPr>
          <w:rFonts w:ascii="Arial" w:hAnsi="Arial" w:cs="Arial"/>
          <w:sz w:val="24"/>
          <w:szCs w:val="24"/>
        </w:rPr>
      </w:pPr>
      <w:r w:rsidRPr="00425D2A">
        <w:rPr>
          <w:rFonts w:ascii="Arial" w:hAnsi="Arial" w:cs="Arial"/>
          <w:sz w:val="24"/>
          <w:szCs w:val="24"/>
        </w:rPr>
        <w:t>Artículo</w:t>
      </w:r>
      <w:r w:rsidR="004E1BC9" w:rsidRPr="00425D2A">
        <w:rPr>
          <w:rFonts w:ascii="Arial" w:hAnsi="Arial" w:cs="Arial"/>
          <w:sz w:val="24"/>
          <w:szCs w:val="24"/>
        </w:rPr>
        <w:t xml:space="preserve"> 335.- El robo tendrá carácter de calificado y además de las sanciones que correspondan conforme a los dos </w:t>
      </w:r>
      <w:r w:rsidRPr="00425D2A">
        <w:rPr>
          <w:rFonts w:ascii="Arial" w:hAnsi="Arial" w:cs="Arial"/>
          <w:sz w:val="24"/>
          <w:szCs w:val="24"/>
        </w:rPr>
        <w:t>artículos</w:t>
      </w:r>
      <w:r w:rsidR="004E1BC9" w:rsidRPr="00425D2A">
        <w:rPr>
          <w:rFonts w:ascii="Arial" w:hAnsi="Arial" w:cs="Arial"/>
          <w:sz w:val="24"/>
          <w:szCs w:val="24"/>
        </w:rPr>
        <w:t xml:space="preserve"> anteriores, se impondrán al agente activo de uno a cinco años de prisión, cuando:</w:t>
      </w:r>
    </w:p>
    <w:p w14:paraId="0CC4CB81" w14:textId="77777777" w:rsidR="004E1BC9" w:rsidRPr="00425D2A" w:rsidRDefault="004E1BC9">
      <w:pPr>
        <w:rPr>
          <w:rFonts w:ascii="Arial" w:hAnsi="Arial" w:cs="Arial"/>
          <w:sz w:val="24"/>
          <w:szCs w:val="24"/>
        </w:rPr>
      </w:pPr>
    </w:p>
    <w:p w14:paraId="74BFBCB2" w14:textId="1796A71E" w:rsidR="004E1BC9" w:rsidRPr="00425D2A" w:rsidRDefault="00BE018B">
      <w:pPr>
        <w:rPr>
          <w:rFonts w:ascii="Arial" w:hAnsi="Arial" w:cs="Arial"/>
          <w:sz w:val="24"/>
          <w:szCs w:val="24"/>
        </w:rPr>
      </w:pPr>
      <w:r>
        <w:rPr>
          <w:rFonts w:ascii="Arial" w:hAnsi="Arial" w:cs="Arial"/>
          <w:sz w:val="24"/>
          <w:szCs w:val="24"/>
        </w:rPr>
        <w:t xml:space="preserve">I </w:t>
      </w:r>
      <w:r w:rsidR="004E1BC9" w:rsidRPr="00425D2A">
        <w:rPr>
          <w:rFonts w:ascii="Arial" w:hAnsi="Arial" w:cs="Arial"/>
          <w:sz w:val="24"/>
          <w:szCs w:val="24"/>
        </w:rPr>
        <w:t>a XIII…</w:t>
      </w:r>
    </w:p>
    <w:p w14:paraId="7AB6F8A3" w14:textId="77777777" w:rsidR="004E1BC9" w:rsidRPr="00800D2B" w:rsidRDefault="004E1BC9">
      <w:pPr>
        <w:rPr>
          <w:rFonts w:ascii="Arial" w:hAnsi="Arial" w:cs="Arial"/>
          <w:b/>
          <w:sz w:val="24"/>
          <w:szCs w:val="24"/>
        </w:rPr>
      </w:pPr>
    </w:p>
    <w:p w14:paraId="586D8EB5" w14:textId="189CF518" w:rsidR="004E1BC9" w:rsidRPr="00800D2B" w:rsidRDefault="004E1BC9" w:rsidP="00800D2B">
      <w:pPr>
        <w:jc w:val="both"/>
        <w:rPr>
          <w:rFonts w:ascii="Arial" w:hAnsi="Arial" w:cs="Arial"/>
          <w:b/>
          <w:sz w:val="24"/>
          <w:szCs w:val="24"/>
        </w:rPr>
      </w:pPr>
      <w:r w:rsidRPr="00800D2B">
        <w:rPr>
          <w:rFonts w:ascii="Arial" w:hAnsi="Arial" w:cs="Arial"/>
          <w:b/>
          <w:sz w:val="24"/>
          <w:szCs w:val="24"/>
        </w:rPr>
        <w:t xml:space="preserve">XIV. Se aproveche de la incapacidad del agente pasivo derivada de la administración forzada u oculta de fármacos, drogas o cualquier sustancia natural o </w:t>
      </w:r>
      <w:r w:rsidR="00800D2B" w:rsidRPr="00800D2B">
        <w:rPr>
          <w:rFonts w:ascii="Arial" w:hAnsi="Arial" w:cs="Arial"/>
          <w:b/>
          <w:sz w:val="24"/>
          <w:szCs w:val="24"/>
        </w:rPr>
        <w:t>química</w:t>
      </w:r>
      <w:r w:rsidRPr="00800D2B">
        <w:rPr>
          <w:rFonts w:ascii="Arial" w:hAnsi="Arial" w:cs="Arial"/>
          <w:b/>
          <w:sz w:val="24"/>
          <w:szCs w:val="24"/>
        </w:rPr>
        <w:t xml:space="preserve"> idónea que tengan como objeto la modificación de su comportamiento, la alteración o supresión de su voluntad.</w:t>
      </w:r>
    </w:p>
    <w:p w14:paraId="7E089B94" w14:textId="77777777" w:rsidR="004E1BC9" w:rsidRPr="00800D2B" w:rsidRDefault="004E1BC9">
      <w:pPr>
        <w:rPr>
          <w:rFonts w:ascii="Arial" w:hAnsi="Arial" w:cs="Arial"/>
          <w:b/>
          <w:sz w:val="24"/>
          <w:szCs w:val="24"/>
        </w:rPr>
      </w:pPr>
    </w:p>
    <w:p w14:paraId="2B457733" w14:textId="77777777" w:rsidR="004E1BC9" w:rsidRPr="00800D2B" w:rsidRDefault="004E1BC9" w:rsidP="00800D2B">
      <w:pPr>
        <w:jc w:val="center"/>
        <w:rPr>
          <w:rFonts w:ascii="Arial" w:hAnsi="Arial" w:cs="Arial"/>
          <w:b/>
          <w:sz w:val="24"/>
          <w:szCs w:val="24"/>
        </w:rPr>
      </w:pPr>
      <w:r w:rsidRPr="00800D2B">
        <w:rPr>
          <w:rFonts w:ascii="Arial" w:hAnsi="Arial" w:cs="Arial"/>
          <w:b/>
          <w:sz w:val="24"/>
          <w:szCs w:val="24"/>
        </w:rPr>
        <w:t>ARTÍCULOS TRANSITORIOS:</w:t>
      </w:r>
    </w:p>
    <w:p w14:paraId="22FAB1E0" w14:textId="77777777" w:rsidR="004E1BC9" w:rsidRPr="00800D2B" w:rsidRDefault="004E1BC9">
      <w:pPr>
        <w:rPr>
          <w:rFonts w:ascii="Arial" w:hAnsi="Arial" w:cs="Arial"/>
          <w:b/>
          <w:sz w:val="24"/>
          <w:szCs w:val="24"/>
        </w:rPr>
      </w:pPr>
    </w:p>
    <w:p w14:paraId="58734EB1" w14:textId="77777777" w:rsidR="00800D2B" w:rsidRDefault="004E1BC9" w:rsidP="00800D2B">
      <w:pPr>
        <w:jc w:val="both"/>
        <w:rPr>
          <w:rFonts w:ascii="Arial" w:hAnsi="Arial" w:cs="Arial"/>
          <w:sz w:val="24"/>
          <w:szCs w:val="24"/>
        </w:rPr>
      </w:pPr>
      <w:r w:rsidRPr="00800D2B">
        <w:rPr>
          <w:rFonts w:ascii="Arial" w:hAnsi="Arial" w:cs="Arial"/>
          <w:b/>
          <w:sz w:val="24"/>
          <w:szCs w:val="24"/>
        </w:rPr>
        <w:t>PRIMERO.-</w:t>
      </w:r>
      <w:r w:rsidRPr="00425D2A">
        <w:rPr>
          <w:rFonts w:ascii="Arial" w:hAnsi="Arial" w:cs="Arial"/>
          <w:sz w:val="24"/>
          <w:szCs w:val="24"/>
        </w:rPr>
        <w:t xml:space="preserve"> El presente decreto entrará en vigor al día siguiente de su publicación en el Diario Oficial del Gobierno del Estado de Yucatán. </w:t>
      </w:r>
    </w:p>
    <w:p w14:paraId="4C8EF629" w14:textId="0E673539" w:rsidR="004E1BC9" w:rsidRPr="00425D2A" w:rsidRDefault="004E1BC9" w:rsidP="00800D2B">
      <w:pPr>
        <w:jc w:val="both"/>
        <w:rPr>
          <w:rFonts w:ascii="Arial" w:hAnsi="Arial" w:cs="Arial"/>
          <w:sz w:val="24"/>
          <w:szCs w:val="24"/>
        </w:rPr>
      </w:pPr>
      <w:r w:rsidRPr="00800D2B">
        <w:rPr>
          <w:rFonts w:ascii="Arial" w:hAnsi="Arial" w:cs="Arial"/>
          <w:b/>
          <w:sz w:val="24"/>
          <w:szCs w:val="24"/>
        </w:rPr>
        <w:t>SEGUNDO.-</w:t>
      </w:r>
      <w:r w:rsidRPr="00425D2A">
        <w:rPr>
          <w:rFonts w:ascii="Arial" w:hAnsi="Arial" w:cs="Arial"/>
          <w:sz w:val="24"/>
          <w:szCs w:val="24"/>
        </w:rPr>
        <w:t xml:space="preserve"> Se derogan las disposiciones de igual o menor jerarquía en lo que se</w:t>
      </w:r>
      <w:r w:rsidR="00800D2B">
        <w:rPr>
          <w:rFonts w:ascii="Arial" w:hAnsi="Arial" w:cs="Arial"/>
          <w:sz w:val="24"/>
          <w:szCs w:val="24"/>
        </w:rPr>
        <w:t xml:space="preserve"> o</w:t>
      </w:r>
      <w:r w:rsidRPr="00425D2A">
        <w:rPr>
          <w:rFonts w:ascii="Arial" w:hAnsi="Arial" w:cs="Arial"/>
          <w:sz w:val="24"/>
          <w:szCs w:val="24"/>
        </w:rPr>
        <w:t>pongan al presente Decreto.</w:t>
      </w:r>
    </w:p>
    <w:p w14:paraId="0295D7E3" w14:textId="6DB9B48C" w:rsidR="004E1BC9" w:rsidRPr="00425D2A" w:rsidRDefault="004E1BC9">
      <w:pPr>
        <w:rPr>
          <w:rFonts w:ascii="Arial" w:hAnsi="Arial" w:cs="Arial"/>
          <w:sz w:val="24"/>
          <w:szCs w:val="24"/>
        </w:rPr>
      </w:pPr>
      <w:r w:rsidRPr="00425D2A">
        <w:rPr>
          <w:rFonts w:ascii="Arial" w:hAnsi="Arial" w:cs="Arial"/>
          <w:sz w:val="24"/>
          <w:szCs w:val="24"/>
        </w:rPr>
        <w:t>Protesto lo necesario en la ciudad de Mérida, Yucatán a los veintiún días del</w:t>
      </w:r>
      <w:r w:rsidR="00800D2B">
        <w:rPr>
          <w:rFonts w:ascii="Arial" w:hAnsi="Arial" w:cs="Arial"/>
          <w:sz w:val="24"/>
          <w:szCs w:val="24"/>
        </w:rPr>
        <w:t xml:space="preserve"> mes d</w:t>
      </w:r>
      <w:r w:rsidRPr="00425D2A">
        <w:rPr>
          <w:rFonts w:ascii="Arial" w:hAnsi="Arial" w:cs="Arial"/>
          <w:sz w:val="24"/>
          <w:szCs w:val="24"/>
        </w:rPr>
        <w:t>e septiembre del año dos mil veintidós.</w:t>
      </w:r>
    </w:p>
    <w:p w14:paraId="07EE6DCE" w14:textId="77777777" w:rsidR="004E1BC9" w:rsidRPr="00800D2B" w:rsidRDefault="004E1BC9" w:rsidP="00800D2B">
      <w:pPr>
        <w:spacing w:line="240" w:lineRule="auto"/>
        <w:jc w:val="center"/>
        <w:rPr>
          <w:rFonts w:ascii="Arial" w:hAnsi="Arial" w:cs="Arial"/>
          <w:b/>
          <w:sz w:val="24"/>
          <w:szCs w:val="24"/>
        </w:rPr>
      </w:pPr>
    </w:p>
    <w:p w14:paraId="50290CE8" w14:textId="47A77B00" w:rsidR="005C3151" w:rsidRPr="00800D2B" w:rsidRDefault="005C3151" w:rsidP="00800D2B">
      <w:pPr>
        <w:spacing w:line="240" w:lineRule="auto"/>
        <w:jc w:val="center"/>
        <w:rPr>
          <w:rFonts w:ascii="Arial" w:hAnsi="Arial" w:cs="Arial"/>
          <w:b/>
          <w:sz w:val="24"/>
          <w:szCs w:val="24"/>
        </w:rPr>
      </w:pPr>
      <w:r w:rsidRPr="00800D2B">
        <w:rPr>
          <w:rFonts w:ascii="Arial" w:hAnsi="Arial" w:cs="Arial"/>
          <w:b/>
          <w:sz w:val="24"/>
          <w:szCs w:val="24"/>
        </w:rPr>
        <w:t>DIP. VICTOR HUGO LOZANO POVEDA</w:t>
      </w:r>
    </w:p>
    <w:p w14:paraId="3EBA4B01" w14:textId="7F26962C" w:rsidR="005C3151" w:rsidRPr="00800D2B" w:rsidRDefault="005C3151" w:rsidP="00800D2B">
      <w:pPr>
        <w:spacing w:line="240" w:lineRule="auto"/>
        <w:jc w:val="center"/>
        <w:rPr>
          <w:rFonts w:ascii="Arial" w:hAnsi="Arial" w:cs="Arial"/>
          <w:b/>
          <w:sz w:val="24"/>
          <w:szCs w:val="24"/>
        </w:rPr>
      </w:pPr>
      <w:r w:rsidRPr="00800D2B">
        <w:rPr>
          <w:rFonts w:ascii="Arial" w:hAnsi="Arial" w:cs="Arial"/>
          <w:b/>
          <w:sz w:val="24"/>
          <w:szCs w:val="24"/>
        </w:rPr>
        <w:t>INTEGRANTE DE LA FRACCIÓN LEGISLATIVA</w:t>
      </w:r>
    </w:p>
    <w:p w14:paraId="0BDC33F7" w14:textId="77777777" w:rsidR="005C3151" w:rsidRPr="00800D2B" w:rsidRDefault="005C3151" w:rsidP="00800D2B">
      <w:pPr>
        <w:spacing w:line="240" w:lineRule="auto"/>
        <w:jc w:val="center"/>
        <w:rPr>
          <w:rFonts w:ascii="Arial" w:hAnsi="Arial" w:cs="Arial"/>
          <w:b/>
          <w:sz w:val="24"/>
          <w:szCs w:val="24"/>
        </w:rPr>
      </w:pPr>
      <w:r w:rsidRPr="00800D2B">
        <w:rPr>
          <w:rFonts w:ascii="Arial" w:hAnsi="Arial" w:cs="Arial"/>
          <w:b/>
          <w:sz w:val="24"/>
          <w:szCs w:val="24"/>
        </w:rPr>
        <w:t>DEL PARTIDO ACCIÓN NACIONAL</w:t>
      </w:r>
    </w:p>
    <w:p w14:paraId="14769317" w14:textId="77777777" w:rsidR="005B7CF3" w:rsidRPr="00425D2A" w:rsidRDefault="005B7CF3" w:rsidP="00800D2B">
      <w:pPr>
        <w:spacing w:line="240" w:lineRule="auto"/>
        <w:rPr>
          <w:rFonts w:ascii="Arial" w:hAnsi="Arial" w:cs="Arial"/>
          <w:sz w:val="24"/>
          <w:szCs w:val="24"/>
        </w:rPr>
      </w:pPr>
    </w:p>
    <w:sectPr w:rsidR="005B7CF3" w:rsidRPr="00425D2A">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0ED60" w14:textId="77777777" w:rsidR="00363E49" w:rsidRDefault="00363E49" w:rsidP="00893926">
      <w:pPr>
        <w:spacing w:after="0" w:line="240" w:lineRule="auto"/>
      </w:pPr>
      <w:r>
        <w:separator/>
      </w:r>
    </w:p>
  </w:endnote>
  <w:endnote w:type="continuationSeparator" w:id="0">
    <w:p w14:paraId="5C5EB69E" w14:textId="77777777" w:rsidR="00363E49" w:rsidRDefault="00363E49" w:rsidP="0089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2D7BE" w14:textId="77777777" w:rsidR="00363E49" w:rsidRDefault="00363E49" w:rsidP="00893926">
      <w:pPr>
        <w:spacing w:after="0" w:line="240" w:lineRule="auto"/>
      </w:pPr>
      <w:r>
        <w:separator/>
      </w:r>
    </w:p>
  </w:footnote>
  <w:footnote w:type="continuationSeparator" w:id="0">
    <w:p w14:paraId="3381C61D" w14:textId="77777777" w:rsidR="00363E49" w:rsidRDefault="00363E49" w:rsidP="00893926">
      <w:pPr>
        <w:spacing w:after="0" w:line="240" w:lineRule="auto"/>
      </w:pPr>
      <w:r>
        <w:continuationSeparator/>
      </w:r>
    </w:p>
  </w:footnote>
  <w:footnote w:id="1">
    <w:p w14:paraId="28A7AAED" w14:textId="14C742E8" w:rsidR="00893926" w:rsidRPr="00893926" w:rsidRDefault="00893926" w:rsidP="00893926">
      <w:pPr>
        <w:pStyle w:val="Textonotapie"/>
        <w:jc w:val="both"/>
        <w:rPr>
          <w:rFonts w:ascii="Arial" w:hAnsi="Arial" w:cs="Arial"/>
          <w:sz w:val="16"/>
          <w:szCs w:val="24"/>
        </w:rPr>
      </w:pPr>
      <w:r>
        <w:rPr>
          <w:rStyle w:val="Refdenotaalpie"/>
        </w:rPr>
        <w:footnoteRef/>
      </w:r>
      <w:r>
        <w:t xml:space="preserve"> </w:t>
      </w:r>
      <w:r w:rsidRPr="00893926">
        <w:rPr>
          <w:rFonts w:ascii="Arial" w:hAnsi="Arial" w:cs="Arial"/>
          <w:sz w:val="16"/>
          <w:szCs w:val="24"/>
        </w:rPr>
        <w:t>CRUZ LANDEIRA, A. et al. (2008):“Sumisión Química: epidemiología y claves para su diagnóstico” en Medicina Clínica, vol. 131, no. 20, pp. 783-789.</w:t>
      </w:r>
    </w:p>
  </w:footnote>
  <w:footnote w:id="2">
    <w:p w14:paraId="2291FB1D" w14:textId="5D016214" w:rsidR="00893926" w:rsidRPr="00893926" w:rsidRDefault="00893926" w:rsidP="00893926">
      <w:pPr>
        <w:jc w:val="both"/>
        <w:rPr>
          <w:rFonts w:ascii="Arial" w:hAnsi="Arial" w:cs="Arial"/>
          <w:sz w:val="16"/>
          <w:szCs w:val="16"/>
        </w:rPr>
      </w:pPr>
      <w:r w:rsidRPr="00893926">
        <w:rPr>
          <w:rStyle w:val="Refdenotaalpie"/>
          <w:sz w:val="16"/>
          <w:szCs w:val="16"/>
        </w:rPr>
        <w:footnoteRef/>
      </w:r>
      <w:r w:rsidRPr="00893926">
        <w:rPr>
          <w:sz w:val="16"/>
          <w:szCs w:val="16"/>
        </w:rPr>
        <w:t xml:space="preserve"> </w:t>
      </w:r>
      <w:r w:rsidRPr="00893926">
        <w:rPr>
          <w:rFonts w:ascii="Arial" w:hAnsi="Arial" w:cs="Arial"/>
          <w:sz w:val="16"/>
          <w:szCs w:val="24"/>
        </w:rPr>
        <w:t>CRUZ LANDEIRA, A. et al. (2008):“</w:t>
      </w:r>
      <w:proofErr w:type="spellStart"/>
      <w:r>
        <w:rPr>
          <w:rFonts w:ascii="Arial" w:hAnsi="Arial" w:cs="Arial"/>
          <w:sz w:val="16"/>
          <w:szCs w:val="24"/>
        </w:rPr>
        <w:t>I</w:t>
      </w:r>
      <w:r w:rsidRPr="00893926">
        <w:rPr>
          <w:rFonts w:ascii="Arial" w:hAnsi="Arial" w:cs="Arial"/>
          <w:sz w:val="16"/>
          <w:szCs w:val="16"/>
        </w:rPr>
        <w:t>bidem</w:t>
      </w:r>
      <w:proofErr w:type="spellEnd"/>
      <w:r w:rsidRPr="00893926">
        <w:rPr>
          <w:rFonts w:ascii="Arial" w:hAnsi="Arial" w:cs="Arial"/>
          <w:sz w:val="16"/>
          <w:szCs w:val="16"/>
        </w:rPr>
        <w:t xml:space="preserve">; GROCIN, R. (2015): </w:t>
      </w:r>
      <w:r w:rsidRPr="00893926">
        <w:rPr>
          <w:rFonts w:ascii="Arial" w:hAnsi="Arial" w:cs="Arial"/>
          <w:sz w:val="16"/>
          <w:szCs w:val="24"/>
        </w:rPr>
        <w:t>Sumisión Química</w:t>
      </w:r>
      <w:r>
        <w:rPr>
          <w:rFonts w:ascii="Arial" w:hAnsi="Arial" w:cs="Arial"/>
          <w:sz w:val="16"/>
          <w:szCs w:val="16"/>
        </w:rPr>
        <w:t xml:space="preserve">. </w:t>
      </w:r>
      <w:r w:rsidRPr="00893926">
        <w:rPr>
          <w:rFonts w:ascii="Arial" w:hAnsi="Arial" w:cs="Arial"/>
          <w:sz w:val="16"/>
          <w:szCs w:val="16"/>
        </w:rPr>
        <w:t>Recuperado de https://docplayer</w:t>
      </w:r>
      <w:r w:rsidR="00BE018B">
        <w:rPr>
          <w:rFonts w:ascii="Arial" w:hAnsi="Arial" w:cs="Arial"/>
          <w:sz w:val="16"/>
          <w:szCs w:val="16"/>
        </w:rPr>
        <w:t>.es/91822956-Sumision-quimica-sq</w:t>
      </w:r>
      <w:r w:rsidRPr="00893926">
        <w:rPr>
          <w:rFonts w:ascii="Arial" w:hAnsi="Arial" w:cs="Arial"/>
          <w:sz w:val="16"/>
          <w:szCs w:val="16"/>
        </w:rPr>
        <w:t>-dra-rosaura-grocin-servicio de urgencias-del-ch</w:t>
      </w:r>
      <w:r w:rsidR="00BE018B">
        <w:rPr>
          <w:rFonts w:ascii="Arial" w:hAnsi="Arial" w:cs="Arial"/>
          <w:sz w:val="16"/>
          <w:szCs w:val="16"/>
        </w:rPr>
        <w:t>n</w:t>
      </w:r>
      <w:r w:rsidRPr="00893926">
        <w:rPr>
          <w:rFonts w:ascii="Arial" w:hAnsi="Arial" w:cs="Arial"/>
          <w:sz w:val="16"/>
          <w:szCs w:val="16"/>
        </w:rPr>
        <w:t xml:space="preserve">.html INMUJERES (2017): Violencia sexual contra las mujeres y consumo de drogas. Recuperado de </w:t>
      </w:r>
      <w:hyperlink r:id="rId1" w:history="1">
        <w:r w:rsidRPr="00893926">
          <w:rPr>
            <w:rStyle w:val="Hipervnculo"/>
            <w:rFonts w:ascii="Arial" w:hAnsi="Arial" w:cs="Arial"/>
            <w:sz w:val="16"/>
            <w:szCs w:val="16"/>
          </w:rPr>
          <w:t xml:space="preserve">http://cedoc.inmujeres.gob.mx/documentos </w:t>
        </w:r>
        <w:proofErr w:type="spellStart"/>
        <w:r w:rsidRPr="00893926">
          <w:rPr>
            <w:rStyle w:val="Hipervnculo"/>
            <w:rFonts w:ascii="Arial" w:hAnsi="Arial" w:cs="Arial"/>
            <w:sz w:val="16"/>
            <w:szCs w:val="16"/>
          </w:rPr>
          <w:t>download</w:t>
        </w:r>
        <w:proofErr w:type="spellEnd"/>
        <w:r w:rsidRPr="00893926">
          <w:rPr>
            <w:rStyle w:val="Hipervnculo"/>
            <w:rFonts w:ascii="Arial" w:hAnsi="Arial" w:cs="Arial"/>
            <w:sz w:val="16"/>
            <w:szCs w:val="16"/>
          </w:rPr>
          <w:t>/101277.pdf</w:t>
        </w:r>
      </w:hyperlink>
    </w:p>
    <w:p w14:paraId="6860D087" w14:textId="7D22DF3E" w:rsidR="00893926" w:rsidRPr="00893926" w:rsidRDefault="00893926">
      <w:pPr>
        <w:pStyle w:val="Textonotapie"/>
        <w:rPr>
          <w:sz w:val="16"/>
          <w:szCs w:val="16"/>
          <w:lang w:val="es-MX"/>
        </w:rPr>
      </w:pPr>
    </w:p>
  </w:footnote>
  <w:footnote w:id="3">
    <w:p w14:paraId="149AB814" w14:textId="71A5366D" w:rsidR="006E6D81" w:rsidRPr="006E6D81" w:rsidRDefault="006E6D81">
      <w:pPr>
        <w:pStyle w:val="Textonotapie"/>
        <w:rPr>
          <w:lang w:val="es-MX"/>
        </w:rPr>
      </w:pPr>
      <w:r>
        <w:rPr>
          <w:rStyle w:val="Refdenotaalpie"/>
        </w:rPr>
        <w:footnoteRef/>
      </w:r>
      <w:r>
        <w:t xml:space="preserve"> </w:t>
      </w:r>
      <w:r w:rsidRPr="006E6D81">
        <w:rPr>
          <w:rFonts w:ascii="Arial" w:hAnsi="Arial" w:cs="Arial"/>
          <w:sz w:val="16"/>
          <w:szCs w:val="24"/>
        </w:rPr>
        <w:t>Recomendación General no. 19 "La violencia contra la mujer". Comité CEDAW 29 de enero de 1992.</w:t>
      </w:r>
    </w:p>
  </w:footnote>
  <w:footnote w:id="4">
    <w:p w14:paraId="6C44D583" w14:textId="095D4B31" w:rsidR="006E6D81" w:rsidRPr="00344CB0" w:rsidRDefault="006E6D81" w:rsidP="00344CB0">
      <w:pPr>
        <w:rPr>
          <w:rFonts w:ascii="Arial" w:hAnsi="Arial" w:cs="Arial"/>
          <w:sz w:val="16"/>
          <w:szCs w:val="16"/>
        </w:rPr>
      </w:pPr>
      <w:r>
        <w:rPr>
          <w:rStyle w:val="Refdenotaalpie"/>
        </w:rPr>
        <w:footnoteRef/>
      </w:r>
      <w:r>
        <w:t xml:space="preserve"> </w:t>
      </w:r>
      <w:r w:rsidRPr="00344CB0">
        <w:rPr>
          <w:rFonts w:ascii="Arial" w:hAnsi="Arial" w:cs="Arial"/>
          <w:sz w:val="16"/>
          <w:szCs w:val="16"/>
        </w:rPr>
        <w:t xml:space="preserve">CIDH (2015): Violencia contra Personas Lesbianas, Gay, bisexuales, </w:t>
      </w:r>
      <w:proofErr w:type="spellStart"/>
      <w:r w:rsidRPr="00344CB0">
        <w:rPr>
          <w:rFonts w:ascii="Arial" w:hAnsi="Arial" w:cs="Arial"/>
          <w:sz w:val="16"/>
          <w:szCs w:val="16"/>
        </w:rPr>
        <w:t>Trans</w:t>
      </w:r>
      <w:proofErr w:type="spellEnd"/>
      <w:r w:rsidRPr="00344CB0">
        <w:rPr>
          <w:rFonts w:ascii="Arial" w:hAnsi="Arial" w:cs="Arial"/>
          <w:sz w:val="16"/>
          <w:szCs w:val="16"/>
        </w:rPr>
        <w:t xml:space="preserve"> e </w:t>
      </w:r>
      <w:proofErr w:type="spellStart"/>
      <w:r w:rsidRPr="00344CB0">
        <w:rPr>
          <w:rFonts w:ascii="Arial" w:hAnsi="Arial" w:cs="Arial"/>
          <w:sz w:val="16"/>
          <w:szCs w:val="16"/>
        </w:rPr>
        <w:t>Intersex</w:t>
      </w:r>
      <w:proofErr w:type="spellEnd"/>
      <w:r w:rsidRPr="00344CB0">
        <w:rPr>
          <w:rFonts w:ascii="Arial" w:hAnsi="Arial" w:cs="Arial"/>
          <w:sz w:val="16"/>
          <w:szCs w:val="16"/>
        </w:rPr>
        <w:t xml:space="preserve"> en América. Comisión Interamericana de Derechos Humanos y ONUSIDA.</w:t>
      </w:r>
    </w:p>
  </w:footnote>
  <w:footnote w:id="5">
    <w:p w14:paraId="3A3D8FDE" w14:textId="2473EBA2" w:rsidR="00344CB0" w:rsidRPr="00344CB0" w:rsidRDefault="00344CB0" w:rsidP="00344CB0">
      <w:pPr>
        <w:jc w:val="both"/>
        <w:rPr>
          <w:rFonts w:ascii="Arial" w:hAnsi="Arial" w:cs="Arial"/>
          <w:sz w:val="16"/>
          <w:szCs w:val="16"/>
        </w:rPr>
      </w:pPr>
      <w:r w:rsidRPr="00344CB0">
        <w:rPr>
          <w:rStyle w:val="Refdenotaalpie"/>
          <w:sz w:val="16"/>
          <w:szCs w:val="16"/>
        </w:rPr>
        <w:footnoteRef/>
      </w:r>
      <w:r w:rsidRPr="00344CB0">
        <w:rPr>
          <w:sz w:val="16"/>
          <w:szCs w:val="16"/>
        </w:rPr>
        <w:t xml:space="preserve"> </w:t>
      </w:r>
      <w:r w:rsidRPr="00344CB0">
        <w:rPr>
          <w:rFonts w:ascii="Arial" w:hAnsi="Arial" w:cs="Arial"/>
          <w:sz w:val="16"/>
          <w:szCs w:val="16"/>
        </w:rPr>
        <w:t xml:space="preserve">Corte IDH. Caso Vicky Hernández y otras vs. Honduras. Fondo, reparaciones y costas. Sentencia de 26 de marzo de 2021. Serie C No. 422. </w:t>
      </w:r>
    </w:p>
  </w:footnote>
  <w:footnote w:id="6">
    <w:p w14:paraId="188D63C1" w14:textId="03D2DA8C" w:rsidR="00344CB0" w:rsidRPr="00344CB0" w:rsidRDefault="00344CB0">
      <w:pPr>
        <w:pStyle w:val="Textonotapie"/>
        <w:rPr>
          <w:lang w:val="es-MX"/>
        </w:rPr>
      </w:pPr>
      <w:r w:rsidRPr="00344CB0">
        <w:rPr>
          <w:rStyle w:val="Refdenotaalpie"/>
          <w:sz w:val="16"/>
          <w:szCs w:val="16"/>
        </w:rPr>
        <w:footnoteRef/>
      </w:r>
      <w:r w:rsidRPr="00344CB0">
        <w:rPr>
          <w:sz w:val="16"/>
          <w:szCs w:val="16"/>
        </w:rPr>
        <w:t xml:space="preserve"> </w:t>
      </w:r>
      <w:r w:rsidRPr="00344CB0">
        <w:rPr>
          <w:rFonts w:ascii="Arial" w:hAnsi="Arial" w:cs="Arial"/>
          <w:sz w:val="16"/>
          <w:szCs w:val="16"/>
        </w:rPr>
        <w:t>Corte IDH. Caso Azul Rojas Marín y otra vs. Perú. Excepciones preliminares, fondo, reparaciones y costas. Sentencia de 12 de marzo de 2020. Serie C No. 402.</w:t>
      </w:r>
    </w:p>
  </w:footnote>
  <w:footnote w:id="7">
    <w:p w14:paraId="2E7327BF" w14:textId="4B20AE06" w:rsidR="00344CB0" w:rsidRPr="00344CB0" w:rsidRDefault="00344CB0">
      <w:pPr>
        <w:pStyle w:val="Textonotapie"/>
        <w:rPr>
          <w:lang w:val="es-MX"/>
        </w:rPr>
      </w:pPr>
      <w:r>
        <w:rPr>
          <w:rStyle w:val="Refdenotaalpie"/>
        </w:rPr>
        <w:footnoteRef/>
      </w:r>
      <w:r>
        <w:t xml:space="preserve"> </w:t>
      </w:r>
      <w:proofErr w:type="gramStart"/>
      <w:r w:rsidRPr="00BE018B">
        <w:rPr>
          <w:sz w:val="16"/>
          <w:lang w:val="es-MX"/>
        </w:rPr>
        <w:t>ONU(</w:t>
      </w:r>
      <w:proofErr w:type="gramEnd"/>
      <w:r w:rsidRPr="00BE018B">
        <w:rPr>
          <w:sz w:val="16"/>
          <w:lang w:val="es-MX"/>
        </w:rPr>
        <w:t>2010). Manual de Legislación sobre la Violencia contra la Mujer. Nueva York.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27E1"/>
    <w:multiLevelType w:val="hybridMultilevel"/>
    <w:tmpl w:val="4D50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7C"/>
    <w:rsid w:val="00344CB0"/>
    <w:rsid w:val="00363E49"/>
    <w:rsid w:val="00394D08"/>
    <w:rsid w:val="00425D2A"/>
    <w:rsid w:val="00432E7C"/>
    <w:rsid w:val="004E1BC9"/>
    <w:rsid w:val="00553758"/>
    <w:rsid w:val="005B7CF3"/>
    <w:rsid w:val="005C3151"/>
    <w:rsid w:val="006E6D81"/>
    <w:rsid w:val="0073259B"/>
    <w:rsid w:val="007E4F32"/>
    <w:rsid w:val="00800D2B"/>
    <w:rsid w:val="00857A28"/>
    <w:rsid w:val="00893926"/>
    <w:rsid w:val="00AA25FD"/>
    <w:rsid w:val="00BE018B"/>
    <w:rsid w:val="00C265E4"/>
    <w:rsid w:val="00EE39A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7E23"/>
  <w15:chartTrackingRefBased/>
  <w15:docId w15:val="{8475C224-D381-EB48-8F8A-18B9E847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4D08"/>
    <w:rPr>
      <w:color w:val="0563C1" w:themeColor="hyperlink"/>
      <w:u w:val="single"/>
    </w:rPr>
  </w:style>
  <w:style w:type="character" w:customStyle="1" w:styleId="UnresolvedMention">
    <w:name w:val="Unresolved Mention"/>
    <w:basedOn w:val="Fuentedeprrafopredeter"/>
    <w:uiPriority w:val="99"/>
    <w:semiHidden/>
    <w:unhideWhenUsed/>
    <w:rsid w:val="00394D08"/>
    <w:rPr>
      <w:color w:val="605E5C"/>
      <w:shd w:val="clear" w:color="auto" w:fill="E1DFDD"/>
    </w:rPr>
  </w:style>
  <w:style w:type="paragraph" w:styleId="Prrafodelista">
    <w:name w:val="List Paragraph"/>
    <w:basedOn w:val="Normal"/>
    <w:uiPriority w:val="34"/>
    <w:qFormat/>
    <w:rsid w:val="00425D2A"/>
    <w:pPr>
      <w:ind w:left="720"/>
      <w:contextualSpacing/>
    </w:pPr>
  </w:style>
  <w:style w:type="paragraph" w:styleId="Textonotapie">
    <w:name w:val="footnote text"/>
    <w:basedOn w:val="Normal"/>
    <w:link w:val="TextonotapieCar"/>
    <w:uiPriority w:val="99"/>
    <w:semiHidden/>
    <w:unhideWhenUsed/>
    <w:rsid w:val="008939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3926"/>
    <w:rPr>
      <w:sz w:val="20"/>
      <w:szCs w:val="20"/>
    </w:rPr>
  </w:style>
  <w:style w:type="character" w:styleId="Refdenotaalpie">
    <w:name w:val="footnote reference"/>
    <w:basedOn w:val="Fuentedeprrafopredeter"/>
    <w:uiPriority w:val="99"/>
    <w:semiHidden/>
    <w:unhideWhenUsed/>
    <w:rsid w:val="00893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edoc.inmujeres.gob.mx/documentos%20download/10127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C5A3-DBEB-4B5A-A03A-5948A5E2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11392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dcterms:created xsi:type="dcterms:W3CDTF">2022-09-30T18:40:00Z</dcterms:created>
  <dcterms:modified xsi:type="dcterms:W3CDTF">2022-09-30T18:40:00Z</dcterms:modified>
</cp:coreProperties>
</file>